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2941" w:rsidRDefault="00891B6B" w:rsidP="002436C1">
      <w:pPr>
        <w:pStyle w:val="TableFigureCaption"/>
      </w:pPr>
      <w:r>
        <w:rPr>
          <w:noProof/>
        </w:rPr>
        <w:drawing>
          <wp:anchor distT="0" distB="0" distL="114300" distR="114300" simplePos="0" relativeHeight="251672576" behindDoc="0" locked="0" layoutInCell="1" allowOverlap="1">
            <wp:simplePos x="0" y="0"/>
            <wp:positionH relativeFrom="column">
              <wp:posOffset>-145156</wp:posOffset>
            </wp:positionH>
            <wp:positionV relativeFrom="paragraph">
              <wp:posOffset>38636</wp:posOffset>
            </wp:positionV>
            <wp:extent cx="4269615" cy="695460"/>
            <wp:effectExtent l="19050" t="0" r="0" b="0"/>
            <wp:wrapNone/>
            <wp:docPr id="1" name="Picture 1"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C Logo NEW PURPLE 2007"/>
                    <pic:cNvPicPr>
                      <a:picLocks noChangeAspect="1" noChangeArrowheads="1"/>
                    </pic:cNvPicPr>
                  </pic:nvPicPr>
                  <pic:blipFill>
                    <a:blip r:embed="rId9" cstate="print"/>
                    <a:srcRect t="21506"/>
                    <a:stretch>
                      <a:fillRect/>
                    </a:stretch>
                  </pic:blipFill>
                  <pic:spPr bwMode="auto">
                    <a:xfrm>
                      <a:off x="0" y="0"/>
                      <a:ext cx="4269615" cy="695460"/>
                    </a:xfrm>
                    <a:prstGeom prst="rect">
                      <a:avLst/>
                    </a:prstGeom>
                    <a:noFill/>
                    <a:ln w="9525">
                      <a:noFill/>
                      <a:miter lim="800000"/>
                      <a:headEnd/>
                      <a:tailEnd/>
                    </a:ln>
                  </pic:spPr>
                </pic:pic>
              </a:graphicData>
            </a:graphic>
          </wp:anchor>
        </w:drawing>
      </w:r>
    </w:p>
    <w:p w:rsidR="002A6B02" w:rsidRDefault="002A6B02"/>
    <w:p w:rsidR="002A6B02" w:rsidRDefault="002A6B02" w:rsidP="00AB380F">
      <w:pPr>
        <w:tabs>
          <w:tab w:val="left" w:pos="8550"/>
        </w:tabs>
      </w:pPr>
    </w:p>
    <w:p w:rsidR="002A6B02" w:rsidRDefault="002A6B02"/>
    <w:p w:rsidR="002A6B02" w:rsidRDefault="00E17557" w:rsidP="00AB380F">
      <w:r>
        <w:rPr>
          <w:noProof/>
        </w:rPr>
        <mc:AlternateContent>
          <mc:Choice Requires="wps">
            <w:drawing>
              <wp:anchor distT="0" distB="0" distL="114300" distR="114300" simplePos="0" relativeHeight="251660288" behindDoc="0" locked="0" layoutInCell="1" allowOverlap="1">
                <wp:simplePos x="0" y="0"/>
                <wp:positionH relativeFrom="column">
                  <wp:posOffset>-10160</wp:posOffset>
                </wp:positionH>
                <wp:positionV relativeFrom="paragraph">
                  <wp:posOffset>316230</wp:posOffset>
                </wp:positionV>
                <wp:extent cx="5511800" cy="842645"/>
                <wp:effectExtent l="0" t="0" r="0" b="0"/>
                <wp:wrapNone/>
                <wp:docPr id="6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1800" cy="842645"/>
                        </a:xfrm>
                        <a:prstGeom prst="rect">
                          <a:avLst/>
                        </a:prstGeom>
                        <a:solidFill>
                          <a:srgbClr val="433B67"/>
                        </a:solidFill>
                        <a:ln>
                          <a:noFill/>
                        </a:ln>
                        <a:effectLst/>
                        <a:extLst>
                          <a:ext uri="{91240B29-F687-4F45-9708-019B960494DF}">
                            <a14:hiddenLine xmlns:a14="http://schemas.microsoft.com/office/drawing/2010/main" w="0">
                              <a:solidFill>
                                <a:schemeClr val="bg1">
                                  <a:lumMod val="100000"/>
                                  <a:lumOff val="0"/>
                                </a:schemeClr>
                              </a:solidFill>
                              <a:miter lim="800000"/>
                              <a:headEnd/>
                              <a:tailEnd/>
                            </a14:hiddenLine>
                          </a:ext>
                          <a:ext uri="{AF507438-7753-43E0-B8FC-AC1667EBCBE1}">
                            <a14:hiddenEffects xmlns:a14="http://schemas.microsoft.com/office/drawing/2010/main">
                              <a:effectLst>
                                <a:outerShdw dist="28398" dir="3806097" algn="ctr" rotWithShape="0">
                                  <a:schemeClr val="accent4">
                                    <a:lumMod val="50000"/>
                                    <a:lumOff val="0"/>
                                    <a:alpha val="50000"/>
                                  </a:schemeClr>
                                </a:outerShdw>
                              </a:effectLst>
                            </a14:hiddenEffects>
                          </a:ext>
                        </a:extLst>
                      </wps:spPr>
                      <wps:txbx>
                        <w:txbxContent>
                          <w:p w:rsidR="00010384" w:rsidRPr="00875B70" w:rsidRDefault="00010384" w:rsidP="00F24446">
                            <w:pPr>
                              <w:pStyle w:val="TitleProposal"/>
                              <w:spacing w:before="200" w:after="200"/>
                              <w:rPr>
                                <w:rFonts w:ascii="Arial Black" w:hAnsi="Arial Black"/>
                                <w:color w:val="FFFFFF" w:themeColor="background1"/>
                              </w:rPr>
                            </w:pPr>
                            <w:r>
                              <w:rPr>
                                <w:rFonts w:ascii="Arial Black" w:hAnsi="Arial Black"/>
                                <w:color w:val="FFFFFF" w:themeColor="background1"/>
                              </w:rPr>
                              <w:t xml:space="preserve">2012 California Statewide Non-residential Critical Peak Pricing Evaluation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margin-left:-.8pt;margin-top:24.9pt;width:434pt;height:66.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" fillcolor="#433b67" stroked="f" strokecolor="white [3212]" strokeweight="0">
                <v:shadow color="#3f3151 [1607]" opacity=".5" offset="1pt"/>
                <v:textbox>
                  <w:txbxContent>
                    <w:p w:rsidR="00010384" w:rsidRPr="00875B70" w:rsidRDefault="00010384" w:rsidP="00F24446">
                      <w:pPr>
                        <w:pStyle w:val="TitleProposal"/>
                        <w:spacing w:before="200" w:after="200"/>
                        <w:rPr>
                          <w:rFonts w:ascii="Arial Black" w:hAnsi="Arial Black"/>
                          <w:color w:val="FFFFFF" w:themeColor="background1"/>
                        </w:rPr>
                      </w:pPr>
                      <w:r>
                        <w:rPr>
                          <w:rFonts w:ascii="Arial Black" w:hAnsi="Arial Black"/>
                          <w:color w:val="FFFFFF" w:themeColor="background1"/>
                        </w:rPr>
                        <w:t xml:space="preserve">2012 California Statewide Non-residential Critical Peak Pricing Evaluation </w:t>
                      </w:r>
                    </w:p>
                  </w:txbxContent>
                </v:textbox>
              </v:shape>
            </w:pict>
          </mc:Fallback>
        </mc:AlternateContent>
      </w:r>
    </w:p>
    <w:p w:rsidR="002A6B02" w:rsidRDefault="002A6B02"/>
    <w:p w:rsidR="002A6B02" w:rsidRDefault="002A6B02"/>
    <w:p w:rsidR="002A6B02" w:rsidRDefault="00B86C76">
      <w:r>
        <w:rPr>
          <w:noProof/>
        </w:rPr>
        <w:drawing>
          <wp:anchor distT="0" distB="0" distL="114300" distR="114300" simplePos="0" relativeHeight="251687936" behindDoc="1" locked="0" layoutInCell="1" allowOverlap="1">
            <wp:simplePos x="0" y="0"/>
            <wp:positionH relativeFrom="column">
              <wp:posOffset>2868501</wp:posOffset>
            </wp:positionH>
            <wp:positionV relativeFrom="paragraph">
              <wp:posOffset>221687</wp:posOffset>
            </wp:positionV>
            <wp:extent cx="2633998" cy="1674253"/>
            <wp:effectExtent l="19050" t="0" r="0" b="0"/>
            <wp:wrapNone/>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t="27374"/>
                    <a:stretch>
                      <a:fillRect/>
                    </a:stretch>
                  </pic:blipFill>
                  <pic:spPr bwMode="auto">
                    <a:xfrm>
                      <a:off x="0" y="0"/>
                      <a:ext cx="2633998" cy="1674253"/>
                    </a:xfrm>
                    <a:prstGeom prst="rect">
                      <a:avLst/>
                    </a:prstGeom>
                    <a:noFill/>
                    <a:ln w="9525">
                      <a:noFill/>
                      <a:miter lim="800000"/>
                      <a:headEnd/>
                      <a:tailEnd/>
                    </a:ln>
                  </pic:spPr>
                </pic:pic>
              </a:graphicData>
            </a:graphic>
          </wp:anchor>
        </w:drawing>
      </w:r>
      <w:r w:rsidR="00E17557">
        <w:rPr>
          <w:noProof/>
        </w:rPr>
        <mc:AlternateContent>
          <mc:Choice Requires="wps">
            <w:drawing>
              <wp:anchor distT="0" distB="0" distL="114300" distR="114300" simplePos="0" relativeHeight="251679744" behindDoc="0" locked="0" layoutInCell="1" allowOverlap="1">
                <wp:simplePos x="0" y="0"/>
                <wp:positionH relativeFrom="column">
                  <wp:posOffset>-4663440</wp:posOffset>
                </wp:positionH>
                <wp:positionV relativeFrom="paragraph">
                  <wp:posOffset>189230</wp:posOffset>
                </wp:positionV>
                <wp:extent cx="699770" cy="33864550"/>
                <wp:effectExtent l="0" t="0" r="24130" b="25400"/>
                <wp:wrapNone/>
                <wp:docPr id="61"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9770" cy="33864550"/>
                        </a:xfrm>
                        <a:prstGeom prst="straightConnector1">
                          <a:avLst/>
                        </a:prstGeom>
                        <a:noFill/>
                        <a:ln w="12700">
                          <a:solidFill>
                            <a:schemeClr val="tx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4">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6" o:spid="_x0000_s1026" type="#_x0000_t32" style="position:absolute;margin-left:-367.2pt;margin-top:14.9pt;width:55.1pt;height:2666.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" strokecolor="black [3213]" strokeweight="1pt">
                <v:shadow color="#3f3151 [1607]" opacity=".5" offset="1pt"/>
              </v:shape>
            </w:pict>
          </mc:Fallback>
        </mc:AlternateContent>
      </w:r>
    </w:p>
    <w:p w:rsidR="002A6B02" w:rsidRDefault="00E17557">
      <w:r>
        <w:rPr>
          <w:noProof/>
        </w:rPr>
        <mc:AlternateContent>
          <mc:Choice Requires="wps">
            <w:drawing>
              <wp:anchor distT="0" distB="0" distL="114300" distR="114300" simplePos="0" relativeHeight="251661312" behindDoc="0" locked="0" layoutInCell="1" allowOverlap="1">
                <wp:simplePos x="0" y="0"/>
                <wp:positionH relativeFrom="column">
                  <wp:posOffset>-12065</wp:posOffset>
                </wp:positionH>
                <wp:positionV relativeFrom="paragraph">
                  <wp:posOffset>158115</wp:posOffset>
                </wp:positionV>
                <wp:extent cx="2772410" cy="1685290"/>
                <wp:effectExtent l="0" t="0" r="8890" b="0"/>
                <wp:wrapNone/>
                <wp:docPr id="5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2410" cy="1685290"/>
                        </a:xfrm>
                        <a:prstGeom prst="rect">
                          <a:avLst/>
                        </a:prstGeom>
                        <a:solidFill>
                          <a:schemeClr val="bg1">
                            <a:lumMod val="100000"/>
                            <a:lumOff val="0"/>
                          </a:schemeClr>
                        </a:solidFill>
                        <a:ln>
                          <a:noFill/>
                        </a:ln>
                        <a:effectLst/>
                        <a:extLst>
                          <a:ext uri="{91240B29-F687-4F45-9708-019B960494DF}">
                            <a14:hiddenLine xmlns:a14="http://schemas.microsoft.com/office/drawing/2010/main" w="38100">
                              <a:solidFill>
                                <a:schemeClr val="lt1">
                                  <a:lumMod val="95000"/>
                                  <a:lumOff val="0"/>
                                </a:schemeClr>
                              </a:solidFill>
                              <a:miter lim="800000"/>
                              <a:headEnd/>
                              <a:tailEnd/>
                            </a14:hiddenLine>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txbx>
                        <w:txbxContent>
                          <w:p w:rsidR="00010384" w:rsidRPr="00334712" w:rsidRDefault="00010384" w:rsidP="00AB380F">
                            <w:pPr>
                              <w:pStyle w:val="PreparedFor"/>
                              <w:spacing w:before="0" w:after="0"/>
                              <w:jc w:val="left"/>
                              <w:rPr>
                                <w:rFonts w:cs="Arial"/>
                                <w:sz w:val="24"/>
                                <w:szCs w:val="24"/>
                              </w:rPr>
                            </w:pPr>
                            <w:r w:rsidRPr="00334712">
                              <w:rPr>
                                <w:rFonts w:cs="Arial"/>
                                <w:sz w:val="24"/>
                                <w:szCs w:val="24"/>
                              </w:rPr>
                              <w:t>Prepared for:</w:t>
                            </w:r>
                          </w:p>
                          <w:p w:rsidR="00010384" w:rsidRPr="00A160C2" w:rsidRDefault="00010384" w:rsidP="00A160C2">
                            <w:pPr>
                              <w:pStyle w:val="PreparedForCompany"/>
                              <w:jc w:val="left"/>
                            </w:pPr>
                            <w:r>
                              <w:t>Pacific Gas and Electric</w:t>
                            </w:r>
                            <w:r w:rsidRPr="00A160C2">
                              <w:t xml:space="preserve"> </w:t>
                            </w:r>
                            <w:r>
                              <w:t xml:space="preserve">Co. </w:t>
                            </w:r>
                            <w:r w:rsidRPr="00A160C2">
                              <w:t>(PG&amp;E)</w:t>
                            </w:r>
                          </w:p>
                          <w:p w:rsidR="00010384" w:rsidRPr="00A160C2" w:rsidRDefault="00010384" w:rsidP="00A160C2">
                            <w:pPr>
                              <w:pStyle w:val="PreparedForCompany"/>
                              <w:jc w:val="left"/>
                            </w:pPr>
                            <w:r w:rsidRPr="00A160C2">
                              <w:t>Southern California Edison (SCE)</w:t>
                            </w:r>
                          </w:p>
                          <w:p w:rsidR="00010384" w:rsidRPr="00A160C2" w:rsidRDefault="00010384" w:rsidP="00A160C2">
                            <w:pPr>
                              <w:pStyle w:val="PreparedForCompany"/>
                              <w:jc w:val="left"/>
                            </w:pPr>
                            <w:r w:rsidRPr="00A160C2">
                              <w:t xml:space="preserve">San Diego </w:t>
                            </w:r>
                            <w:r>
                              <w:t xml:space="preserve">Gas and Electric Co. </w:t>
                            </w:r>
                            <w:r w:rsidRPr="00A160C2">
                              <w:t>(SDG&amp;E)</w:t>
                            </w:r>
                          </w:p>
                          <w:p w:rsidR="00010384" w:rsidRPr="00334712" w:rsidRDefault="00010384" w:rsidP="00A160C2">
                            <w:pPr>
                              <w:pStyle w:val="PreparedForCompany"/>
                              <w:jc w:val="left"/>
                              <w:rPr>
                                <w:rFonts w:cs="Arial"/>
                                <w:sz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27" type="#_x0000_t202" style="position:absolute;margin-left:-.95pt;margin-top:12.45pt;width:218.3pt;height:13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" fillcolor="white [3212]" stroked="f" strokecolor="#f2f2f2 [3041]" strokeweight="3pt">
                <v:shadow color="#7f7f7f [1601]" opacity=".5" offset="1pt"/>
                <v:textbox>
                  <w:txbxContent>
                    <w:p w:rsidR="00010384" w:rsidRPr="00334712" w:rsidRDefault="00010384" w:rsidP="00AB380F">
                      <w:pPr>
                        <w:pStyle w:val="PreparedFor"/>
                        <w:spacing w:before="0" w:after="0"/>
                        <w:jc w:val="left"/>
                        <w:rPr>
                          <w:rFonts w:cs="Arial"/>
                          <w:sz w:val="24"/>
                          <w:szCs w:val="24"/>
                        </w:rPr>
                      </w:pPr>
                      <w:r w:rsidRPr="00334712">
                        <w:rPr>
                          <w:rFonts w:cs="Arial"/>
                          <w:sz w:val="24"/>
                          <w:szCs w:val="24"/>
                        </w:rPr>
                        <w:t>Prepared for:</w:t>
                      </w:r>
                    </w:p>
                    <w:p w:rsidR="00010384" w:rsidRPr="00A160C2" w:rsidRDefault="00010384" w:rsidP="00A160C2">
                      <w:pPr>
                        <w:pStyle w:val="PreparedForCompany"/>
                        <w:jc w:val="left"/>
                      </w:pPr>
                      <w:r>
                        <w:t>Pacific Gas and Electric</w:t>
                      </w:r>
                      <w:r w:rsidRPr="00A160C2">
                        <w:t xml:space="preserve"> </w:t>
                      </w:r>
                      <w:r>
                        <w:t xml:space="preserve">Co. </w:t>
                      </w:r>
                      <w:r w:rsidRPr="00A160C2">
                        <w:t>(PG&amp;E)</w:t>
                      </w:r>
                    </w:p>
                    <w:p w:rsidR="00010384" w:rsidRPr="00A160C2" w:rsidRDefault="00010384" w:rsidP="00A160C2">
                      <w:pPr>
                        <w:pStyle w:val="PreparedForCompany"/>
                        <w:jc w:val="left"/>
                      </w:pPr>
                      <w:r w:rsidRPr="00A160C2">
                        <w:t>Southern California Edison (SCE)</w:t>
                      </w:r>
                    </w:p>
                    <w:p w:rsidR="00010384" w:rsidRPr="00A160C2" w:rsidRDefault="00010384" w:rsidP="00A160C2">
                      <w:pPr>
                        <w:pStyle w:val="PreparedForCompany"/>
                        <w:jc w:val="left"/>
                      </w:pPr>
                      <w:r w:rsidRPr="00A160C2">
                        <w:t xml:space="preserve">San Diego </w:t>
                      </w:r>
                      <w:r>
                        <w:t xml:space="preserve">Gas and Electric Co. </w:t>
                      </w:r>
                      <w:r w:rsidRPr="00A160C2">
                        <w:t>(SDG&amp;E)</w:t>
                      </w:r>
                    </w:p>
                    <w:p w:rsidR="00010384" w:rsidRPr="00334712" w:rsidRDefault="00010384" w:rsidP="00A160C2">
                      <w:pPr>
                        <w:pStyle w:val="PreparedForCompany"/>
                        <w:jc w:val="left"/>
                        <w:rPr>
                          <w:rFonts w:cs="Arial"/>
                          <w:sz w:val="24"/>
                        </w:rPr>
                      </w:pPr>
                    </w:p>
                  </w:txbxContent>
                </v:textbox>
              </v:shape>
            </w:pict>
          </mc:Fallback>
        </mc:AlternateContent>
      </w:r>
    </w:p>
    <w:p w:rsidR="002A6B02" w:rsidRDefault="002A6B02"/>
    <w:p w:rsidR="002A6B02" w:rsidRDefault="002A6B02"/>
    <w:p w:rsidR="002A6B02" w:rsidRDefault="002A6B02"/>
    <w:p w:rsidR="002A6B02" w:rsidRDefault="00E17557">
      <w:r>
        <w:rPr>
          <w:noProof/>
        </w:rPr>
        <mc:AlternateContent>
          <mc:Choice Requires="wps">
            <w:drawing>
              <wp:anchor distT="0" distB="0" distL="114300" distR="114300" simplePos="0" relativeHeight="251662336" behindDoc="0" locked="0" layoutInCell="1" allowOverlap="1">
                <wp:simplePos x="0" y="0"/>
                <wp:positionH relativeFrom="column">
                  <wp:posOffset>-12065</wp:posOffset>
                </wp:positionH>
                <wp:positionV relativeFrom="paragraph">
                  <wp:posOffset>191135</wp:posOffset>
                </wp:positionV>
                <wp:extent cx="2644140" cy="403860"/>
                <wp:effectExtent l="0" t="0" r="3810" b="0"/>
                <wp:wrapNone/>
                <wp:docPr id="5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140" cy="403860"/>
                        </a:xfrm>
                        <a:prstGeom prst="rect">
                          <a:avLst/>
                        </a:prstGeom>
                        <a:solidFill>
                          <a:schemeClr val="bg1">
                            <a:lumMod val="100000"/>
                            <a:lumOff val="0"/>
                          </a:schemeClr>
                        </a:solidFill>
                        <a:ln>
                          <a:noFill/>
                        </a:ln>
                        <a:effectLst/>
                        <a:extLst>
                          <a:ext uri="{91240B29-F687-4F45-9708-019B960494DF}">
                            <a14:hiddenLine xmlns:a14="http://schemas.microsoft.com/office/drawing/2010/main" w="38100">
                              <a:solidFill>
                                <a:schemeClr val="lt1">
                                  <a:lumMod val="95000"/>
                                  <a:lumOff val="0"/>
                                </a:schemeClr>
                              </a:solidFill>
                              <a:miter lim="800000"/>
                              <a:headEnd/>
                              <a:tailEnd/>
                            </a14:hiddenLine>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txbx>
                        <w:txbxContent>
                          <w:p w:rsidR="00010384" w:rsidRPr="00334712" w:rsidRDefault="00010384" w:rsidP="00AB380F">
                            <w:pPr>
                              <w:pStyle w:val="TitleProposal"/>
                              <w:rPr>
                                <w:b w:val="0"/>
                                <w:color w:val="auto"/>
                                <w:sz w:val="24"/>
                                <w:szCs w:val="24"/>
                              </w:rPr>
                            </w:pPr>
                            <w:r>
                              <w:rPr>
                                <w:b w:val="0"/>
                                <w:color w:val="auto"/>
                                <w:sz w:val="24"/>
                                <w:szCs w:val="24"/>
                              </w:rPr>
                              <w:t>April 1, 2013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28" type="#_x0000_t202" style="position:absolute;margin-left:-.95pt;margin-top:15.05pt;width:208.2pt;height:3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" fillcolor="white [3212]" stroked="f" strokecolor="#f2f2f2 [3041]" strokeweight="3pt">
                <v:shadow color="#622423 [1605]" opacity=".5" offset="1pt"/>
                <v:textbox>
                  <w:txbxContent>
                    <w:p w:rsidR="00010384" w:rsidRPr="00334712" w:rsidRDefault="00010384" w:rsidP="00AB380F">
                      <w:pPr>
                        <w:pStyle w:val="TitleProposal"/>
                        <w:rPr>
                          <w:b w:val="0"/>
                          <w:color w:val="auto"/>
                          <w:sz w:val="24"/>
                          <w:szCs w:val="24"/>
                        </w:rPr>
                      </w:pPr>
                      <w:r>
                        <w:rPr>
                          <w:b w:val="0"/>
                          <w:color w:val="auto"/>
                          <w:sz w:val="24"/>
                          <w:szCs w:val="24"/>
                        </w:rPr>
                        <w:t>April 1, 2013</w:t>
                      </w:r>
                    </w:p>
                  </w:txbxContent>
                </v:textbox>
              </v:shape>
            </w:pict>
          </mc:Fallback>
        </mc:AlternateContent>
      </w:r>
    </w:p>
    <w:p w:rsidR="00CF7B44" w:rsidRDefault="00FD51F4">
      <w:r>
        <w:rPr>
          <w:noProof/>
        </w:rPr>
        <w:drawing>
          <wp:anchor distT="0" distB="0" distL="114300" distR="114300" simplePos="0" relativeHeight="251689984" behindDoc="1" locked="0" layoutInCell="1" allowOverlap="1">
            <wp:simplePos x="0" y="0"/>
            <wp:positionH relativeFrom="column">
              <wp:posOffset>2868295</wp:posOffset>
            </wp:positionH>
            <wp:positionV relativeFrom="paragraph">
              <wp:posOffset>-4445</wp:posOffset>
            </wp:positionV>
            <wp:extent cx="2633980" cy="1725295"/>
            <wp:effectExtent l="1905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srcRect t="3425" b="4794"/>
                    <a:stretch>
                      <a:fillRect/>
                    </a:stretch>
                  </pic:blipFill>
                  <pic:spPr bwMode="auto">
                    <a:xfrm>
                      <a:off x="0" y="0"/>
                      <a:ext cx="2633980" cy="1725295"/>
                    </a:xfrm>
                    <a:prstGeom prst="rect">
                      <a:avLst/>
                    </a:prstGeom>
                    <a:noFill/>
                    <a:ln w="9525">
                      <a:noFill/>
                      <a:miter lim="800000"/>
                      <a:headEnd/>
                      <a:tailEnd/>
                    </a:ln>
                  </pic:spPr>
                </pic:pic>
              </a:graphicData>
            </a:graphic>
          </wp:anchor>
        </w:drawing>
      </w:r>
    </w:p>
    <w:p w:rsidR="002A6B02" w:rsidRDefault="00E17557">
      <w:r>
        <w:rPr>
          <w:noProof/>
        </w:rPr>
        <mc:AlternateContent>
          <mc:Choice Requires="wps">
            <w:drawing>
              <wp:anchor distT="0" distB="0" distL="114300" distR="114300" simplePos="0" relativeHeight="251663360" behindDoc="0" locked="0" layoutInCell="1" allowOverlap="1">
                <wp:simplePos x="0" y="0"/>
                <wp:positionH relativeFrom="column">
                  <wp:posOffset>-10160</wp:posOffset>
                </wp:positionH>
                <wp:positionV relativeFrom="paragraph">
                  <wp:posOffset>80645</wp:posOffset>
                </wp:positionV>
                <wp:extent cx="2627630" cy="1434465"/>
                <wp:effectExtent l="0" t="0" r="1270" b="0"/>
                <wp:wrapNone/>
                <wp:docPr id="5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7630" cy="1434465"/>
                        </a:xfrm>
                        <a:prstGeom prst="rect">
                          <a:avLst/>
                        </a:prstGeom>
                        <a:solidFill>
                          <a:schemeClr val="bg1">
                            <a:lumMod val="100000"/>
                            <a:lumOff val="0"/>
                          </a:schemeClr>
                        </a:solidFill>
                        <a:ln>
                          <a:noFill/>
                        </a:ln>
                        <a:effectLst/>
                        <a:extLst>
                          <a:ext uri="{91240B29-F687-4F45-9708-019B960494DF}">
                            <a14:hiddenLine xmlns:a14="http://schemas.microsoft.com/office/drawing/2010/main" w="38100">
                              <a:solidFill>
                                <a:schemeClr val="lt1">
                                  <a:lumMod val="95000"/>
                                  <a:lumOff val="0"/>
                                </a:schemeClr>
                              </a:solidFill>
                              <a:miter lim="800000"/>
                              <a:headEnd/>
                              <a:tailEnd/>
                            </a14:hiddenLine>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txbx>
                        <w:txbxContent>
                          <w:p w:rsidR="00010384" w:rsidRPr="00334712" w:rsidRDefault="00010384" w:rsidP="00AB380F">
                            <w:pPr>
                              <w:pStyle w:val="PreparedForCompany"/>
                              <w:jc w:val="left"/>
                              <w:rPr>
                                <w:rFonts w:cs="Arial"/>
                                <w:i/>
                                <w:sz w:val="24"/>
                              </w:rPr>
                            </w:pPr>
                            <w:r w:rsidRPr="00334712">
                              <w:rPr>
                                <w:rFonts w:cs="Arial"/>
                                <w:i/>
                                <w:sz w:val="24"/>
                              </w:rPr>
                              <w:t>Prepared by:</w:t>
                            </w:r>
                          </w:p>
                          <w:p w:rsidR="00010384" w:rsidRPr="00A160C2" w:rsidRDefault="00010384" w:rsidP="00A160C2">
                            <w:pPr>
                              <w:pStyle w:val="PreparedForCompany"/>
                              <w:jc w:val="left"/>
                            </w:pPr>
                            <w:r w:rsidRPr="00A160C2">
                              <w:t>Josh L. Bode, M.P.P.</w:t>
                            </w:r>
                          </w:p>
                          <w:p w:rsidR="00010384" w:rsidRDefault="00010384" w:rsidP="00A160C2">
                            <w:pPr>
                              <w:pStyle w:val="PreparedForCompany"/>
                              <w:jc w:val="left"/>
                            </w:pPr>
                            <w:r w:rsidRPr="00A160C2">
                              <w:t>Candice A. Churchwell, M.S.</w:t>
                            </w:r>
                          </w:p>
                          <w:p w:rsidR="00010384" w:rsidRPr="00A160C2" w:rsidRDefault="00010384" w:rsidP="00A160C2">
                            <w:pPr>
                              <w:pStyle w:val="PreparedForCompany"/>
                              <w:jc w:val="left"/>
                            </w:pPr>
                            <w:r>
                              <w:t>Stephen S. George, Ph.D.</w:t>
                            </w:r>
                          </w:p>
                          <w:p w:rsidR="00010384" w:rsidRPr="00A160C2" w:rsidRDefault="00010384" w:rsidP="00A160C2">
                            <w:pPr>
                              <w:pStyle w:val="PreparedForCompany"/>
                              <w:jc w:val="left"/>
                            </w:pPr>
                            <w:r w:rsidRPr="00A160C2">
                              <w:t>Freeman, Sullivan &amp; Co.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29" type="#_x0000_t202" style="position:absolute;margin-left:-.8pt;margin-top:6.35pt;width:206.9pt;height:11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" fillcolor="white [3212]" stroked="f" strokecolor="#f2f2f2 [3041]" strokeweight="3pt">
                <v:shadow color="#243f60 [1604]" opacity=".5" offset="1pt"/>
                <v:textbox>
                  <w:txbxContent>
                    <w:p w:rsidR="00010384" w:rsidRPr="00334712" w:rsidRDefault="00010384" w:rsidP="00AB380F">
                      <w:pPr>
                        <w:pStyle w:val="PreparedForCompany"/>
                        <w:jc w:val="left"/>
                        <w:rPr>
                          <w:rFonts w:cs="Arial"/>
                          <w:i/>
                          <w:sz w:val="24"/>
                        </w:rPr>
                      </w:pPr>
                      <w:r w:rsidRPr="00334712">
                        <w:rPr>
                          <w:rFonts w:cs="Arial"/>
                          <w:i/>
                          <w:sz w:val="24"/>
                        </w:rPr>
                        <w:t>Prepared by:</w:t>
                      </w:r>
                    </w:p>
                    <w:p w:rsidR="00010384" w:rsidRPr="00A160C2" w:rsidRDefault="00010384" w:rsidP="00A160C2">
                      <w:pPr>
                        <w:pStyle w:val="PreparedForCompany"/>
                        <w:jc w:val="left"/>
                      </w:pPr>
                      <w:r w:rsidRPr="00A160C2">
                        <w:t>Josh L. Bode, M.P.P.</w:t>
                      </w:r>
                    </w:p>
                    <w:p w:rsidR="00010384" w:rsidRDefault="00010384" w:rsidP="00A160C2">
                      <w:pPr>
                        <w:pStyle w:val="PreparedForCompany"/>
                        <w:jc w:val="left"/>
                      </w:pPr>
                      <w:r w:rsidRPr="00A160C2">
                        <w:t>Candice A. Churchwell, M.S.</w:t>
                      </w:r>
                    </w:p>
                    <w:p w:rsidR="00010384" w:rsidRPr="00A160C2" w:rsidRDefault="00010384" w:rsidP="00A160C2">
                      <w:pPr>
                        <w:pStyle w:val="PreparedForCompany"/>
                        <w:jc w:val="left"/>
                      </w:pPr>
                      <w:r>
                        <w:t>Stephen S. George, Ph.D.</w:t>
                      </w:r>
                    </w:p>
                    <w:p w:rsidR="00010384" w:rsidRPr="00A160C2" w:rsidRDefault="00010384" w:rsidP="00A160C2">
                      <w:pPr>
                        <w:pStyle w:val="PreparedForCompany"/>
                        <w:jc w:val="left"/>
                      </w:pPr>
                      <w:r w:rsidRPr="00A160C2">
                        <w:t>Freeman, Sullivan &amp; Co.</w:t>
                      </w:r>
                    </w:p>
                  </w:txbxContent>
                </v:textbox>
              </v:shape>
            </w:pict>
          </mc:Fallback>
        </mc:AlternateContent>
      </w:r>
    </w:p>
    <w:p w:rsidR="0084569F" w:rsidRDefault="0084569F" w:rsidP="00305437">
      <w:pPr>
        <w:pStyle w:val="PreparedFor"/>
      </w:pPr>
    </w:p>
    <w:p w:rsidR="0084569F" w:rsidRDefault="0084569F" w:rsidP="00305437">
      <w:pPr>
        <w:pStyle w:val="PreparedFor"/>
      </w:pPr>
    </w:p>
    <w:p w:rsidR="002A6B02" w:rsidRDefault="002A6B02" w:rsidP="00305437">
      <w:pPr>
        <w:pStyle w:val="PreparedForCompany"/>
      </w:pPr>
    </w:p>
    <w:p w:rsidR="00AB380F" w:rsidRPr="00ED253C" w:rsidRDefault="00891B6B" w:rsidP="00AB380F">
      <w:pPr>
        <w:pStyle w:val="PreparedForCompany"/>
        <w:jc w:val="left"/>
      </w:pPr>
      <w:r>
        <w:rPr>
          <w:noProof/>
          <w:szCs w:val="22"/>
        </w:rPr>
        <w:drawing>
          <wp:anchor distT="0" distB="0" distL="114300" distR="114300" simplePos="0" relativeHeight="251688960" behindDoc="1" locked="0" layoutInCell="1" allowOverlap="1">
            <wp:simplePos x="0" y="0"/>
            <wp:positionH relativeFrom="column">
              <wp:posOffset>2868501</wp:posOffset>
            </wp:positionH>
            <wp:positionV relativeFrom="paragraph">
              <wp:posOffset>147427</wp:posOffset>
            </wp:positionV>
            <wp:extent cx="2633998" cy="1674254"/>
            <wp:effectExtent l="1905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srcRect b="2958"/>
                    <a:stretch>
                      <a:fillRect/>
                    </a:stretch>
                  </pic:blipFill>
                  <pic:spPr bwMode="auto">
                    <a:xfrm>
                      <a:off x="0" y="0"/>
                      <a:ext cx="2633998" cy="1674254"/>
                    </a:xfrm>
                    <a:prstGeom prst="rect">
                      <a:avLst/>
                    </a:prstGeom>
                    <a:noFill/>
                    <a:ln w="9525">
                      <a:noFill/>
                      <a:miter lim="800000"/>
                      <a:headEnd/>
                      <a:tailEnd/>
                    </a:ln>
                  </pic:spPr>
                </pic:pic>
              </a:graphicData>
            </a:graphic>
          </wp:anchor>
        </w:drawing>
      </w:r>
    </w:p>
    <w:p w:rsidR="002A6B02" w:rsidRDefault="00E17557" w:rsidP="00AB380F">
      <w:pPr>
        <w:spacing w:before="240"/>
        <w:ind w:left="-990"/>
        <w:rPr>
          <w:b/>
          <w:color w:val="433B67"/>
          <w:sz w:val="28"/>
          <w:szCs w:val="28"/>
        </w:rPr>
        <w:sectPr w:rsidR="002A6B02" w:rsidSect="00C82C6B">
          <w:headerReference w:type="even" r:id="rId13"/>
          <w:headerReference w:type="default" r:id="rId14"/>
          <w:footerReference w:type="even" r:id="rId15"/>
          <w:footerReference w:type="default" r:id="rId16"/>
          <w:footerReference w:type="first" r:id="rId17"/>
          <w:pgSz w:w="12240" w:h="15840"/>
          <w:pgMar w:top="1440" w:right="1800" w:bottom="1440" w:left="1800" w:header="720" w:footer="720" w:gutter="0"/>
          <w:pgNumType w:fmt="lowerRoman" w:start="1"/>
          <w:cols w:space="720"/>
          <w:titlePg/>
          <w:docGrid w:linePitch="360"/>
        </w:sectPr>
      </w:pPr>
      <w:r>
        <w:rPr>
          <w:noProof/>
        </w:rPr>
        <mc:AlternateContent>
          <mc:Choice Requires="wps">
            <w:drawing>
              <wp:anchor distT="0" distB="0" distL="114300" distR="114300" simplePos="0" relativeHeight="251664384" behindDoc="0" locked="0" layoutInCell="1" allowOverlap="1">
                <wp:simplePos x="0" y="0"/>
                <wp:positionH relativeFrom="column">
                  <wp:posOffset>-12065</wp:posOffset>
                </wp:positionH>
                <wp:positionV relativeFrom="paragraph">
                  <wp:posOffset>55880</wp:posOffset>
                </wp:positionV>
                <wp:extent cx="2629535" cy="842645"/>
                <wp:effectExtent l="0" t="0" r="0" b="0"/>
                <wp:wrapNone/>
                <wp:docPr id="5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9535" cy="842645"/>
                        </a:xfrm>
                        <a:prstGeom prst="rect">
                          <a:avLst/>
                        </a:prstGeom>
                        <a:solidFill>
                          <a:schemeClr val="bg1">
                            <a:lumMod val="100000"/>
                            <a:lumOff val="0"/>
                          </a:schemeClr>
                        </a:solidFill>
                        <a:ln>
                          <a:noFill/>
                        </a:ln>
                        <a:effectLst/>
                        <a:extLst>
                          <a:ext uri="{91240B29-F687-4F45-9708-019B960494DF}">
                            <a14:hiddenLine xmlns:a14="http://schemas.microsoft.com/office/drawing/2010/main" w="38100">
                              <a:solidFill>
                                <a:schemeClr val="lt1">
                                  <a:lumMod val="95000"/>
                                  <a:lumOff val="0"/>
                                </a:schemeClr>
                              </a:solidFill>
                              <a:miter lim="800000"/>
                              <a:headEnd/>
                              <a:tailEnd/>
                            </a14:hiddenLine>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txbx>
                        <w:txbxContent>
                          <w:p w:rsidR="00010384" w:rsidRPr="00334712" w:rsidRDefault="00010384" w:rsidP="00D04A27">
                            <w:pPr>
                              <w:pStyle w:val="TitleAddress"/>
                              <w:tabs>
                                <w:tab w:val="clear" w:pos="3960"/>
                              </w:tabs>
                              <w:rPr>
                                <w:b w:val="0"/>
                                <w:color w:val="auto"/>
                                <w:sz w:val="24"/>
                                <w:szCs w:val="24"/>
                              </w:rPr>
                            </w:pPr>
                            <w:r w:rsidRPr="00334712">
                              <w:rPr>
                                <w:b w:val="0"/>
                                <w:color w:val="auto"/>
                                <w:sz w:val="24"/>
                                <w:szCs w:val="24"/>
                              </w:rPr>
                              <w:t>Freeman, Sullivan &amp; Co.</w:t>
                            </w:r>
                            <w:r w:rsidRPr="00334712">
                              <w:rPr>
                                <w:b w:val="0"/>
                                <w:color w:val="auto"/>
                                <w:sz w:val="24"/>
                                <w:szCs w:val="24"/>
                              </w:rPr>
                              <w:br/>
                              <w:t>101 Montgomery St., 15</w:t>
                            </w:r>
                            <w:r w:rsidRPr="007C0785">
                              <w:rPr>
                                <w:b w:val="0"/>
                                <w:color w:val="auto"/>
                                <w:sz w:val="24"/>
                                <w:szCs w:val="24"/>
                                <w:vertAlign w:val="superscript"/>
                              </w:rPr>
                              <w:t xml:space="preserve">th </w:t>
                            </w:r>
                            <w:r w:rsidRPr="00334712">
                              <w:rPr>
                                <w:b w:val="0"/>
                                <w:color w:val="auto"/>
                                <w:sz w:val="24"/>
                                <w:szCs w:val="24"/>
                              </w:rPr>
                              <w:t>Fl</w:t>
                            </w:r>
                            <w:r>
                              <w:rPr>
                                <w:b w:val="0"/>
                                <w:color w:val="auto"/>
                                <w:sz w:val="24"/>
                                <w:szCs w:val="24"/>
                              </w:rPr>
                              <w:t>.</w:t>
                            </w:r>
                            <w:r w:rsidRPr="00334712">
                              <w:rPr>
                                <w:b w:val="0"/>
                                <w:color w:val="auto"/>
                                <w:sz w:val="24"/>
                                <w:szCs w:val="24"/>
                              </w:rPr>
                              <w:br/>
                              <w:t>San Francisco, CA  94104</w:t>
                            </w:r>
                            <w:r w:rsidRPr="00334712">
                              <w:rPr>
                                <w:b w:val="0"/>
                                <w:color w:val="auto"/>
                                <w:sz w:val="24"/>
                                <w:szCs w:val="24"/>
                              </w:rPr>
                              <w:br/>
                              <w:t>fscgroup.com</w:t>
                            </w:r>
                          </w:p>
                          <w:p w:rsidR="00010384" w:rsidRPr="000D67D1" w:rsidRDefault="00010384" w:rsidP="00AB380F">
                            <w:pPr>
                              <w:pStyle w:val="TitleAddress"/>
                            </w:pPr>
                            <w:r w:rsidRPr="000D67D1">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0" type="#_x0000_t202" style="position:absolute;left:0;text-align:left;margin-left:-.95pt;margin-top:4.4pt;width:207.05pt;height:66.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" fillcolor="white [3212]" stroked="f" strokecolor="#f2f2f2 [3041]" strokeweight="3pt">
                <v:shadow color="#4e6128 [1606]" opacity=".5" offset="1pt"/>
                <v:textbox>
                  <w:txbxContent>
                    <w:p w:rsidR="00010384" w:rsidRPr="00334712" w:rsidRDefault="00010384" w:rsidP="00D04A27">
                      <w:pPr>
                        <w:pStyle w:val="TitleAddress"/>
                        <w:tabs>
                          <w:tab w:val="clear" w:pos="3960"/>
                        </w:tabs>
                        <w:rPr>
                          <w:b w:val="0"/>
                          <w:color w:val="auto"/>
                          <w:sz w:val="24"/>
                          <w:szCs w:val="24"/>
                        </w:rPr>
                      </w:pPr>
                      <w:r w:rsidRPr="00334712">
                        <w:rPr>
                          <w:b w:val="0"/>
                          <w:color w:val="auto"/>
                          <w:sz w:val="24"/>
                          <w:szCs w:val="24"/>
                        </w:rPr>
                        <w:t>Freeman, Sullivan &amp; Co.</w:t>
                      </w:r>
                      <w:r w:rsidRPr="00334712">
                        <w:rPr>
                          <w:b w:val="0"/>
                          <w:color w:val="auto"/>
                          <w:sz w:val="24"/>
                          <w:szCs w:val="24"/>
                        </w:rPr>
                        <w:br/>
                        <w:t>101 Montgomery St., 15</w:t>
                      </w:r>
                      <w:r w:rsidRPr="007C0785">
                        <w:rPr>
                          <w:b w:val="0"/>
                          <w:color w:val="auto"/>
                          <w:sz w:val="24"/>
                          <w:szCs w:val="24"/>
                          <w:vertAlign w:val="superscript"/>
                        </w:rPr>
                        <w:t xml:space="preserve">th </w:t>
                      </w:r>
                      <w:r w:rsidRPr="00334712">
                        <w:rPr>
                          <w:b w:val="0"/>
                          <w:color w:val="auto"/>
                          <w:sz w:val="24"/>
                          <w:szCs w:val="24"/>
                        </w:rPr>
                        <w:t>Fl</w:t>
                      </w:r>
                      <w:r>
                        <w:rPr>
                          <w:b w:val="0"/>
                          <w:color w:val="auto"/>
                          <w:sz w:val="24"/>
                          <w:szCs w:val="24"/>
                        </w:rPr>
                        <w:t>.</w:t>
                      </w:r>
                      <w:r w:rsidRPr="00334712">
                        <w:rPr>
                          <w:b w:val="0"/>
                          <w:color w:val="auto"/>
                          <w:sz w:val="24"/>
                          <w:szCs w:val="24"/>
                        </w:rPr>
                        <w:br/>
                        <w:t>San Francisco, CA  94104</w:t>
                      </w:r>
                      <w:r w:rsidRPr="00334712">
                        <w:rPr>
                          <w:b w:val="0"/>
                          <w:color w:val="auto"/>
                          <w:sz w:val="24"/>
                          <w:szCs w:val="24"/>
                        </w:rPr>
                        <w:br/>
                        <w:t>fscgroup.com</w:t>
                      </w:r>
                    </w:p>
                    <w:p w:rsidR="00010384" w:rsidRPr="000D67D1" w:rsidRDefault="00010384" w:rsidP="00AB380F">
                      <w:pPr>
                        <w:pStyle w:val="TitleAddress"/>
                      </w:pPr>
                      <w:r w:rsidRPr="000D67D1">
                        <w:tab/>
                      </w:r>
                    </w:p>
                  </w:txbxContent>
                </v:textbox>
              </v:shape>
            </w:pict>
          </mc:Fallback>
        </mc:AlternateContent>
      </w:r>
      <w:r>
        <w:rPr>
          <w:b/>
          <w:noProof/>
          <w:color w:val="433B67"/>
          <w:sz w:val="28"/>
          <w:szCs w:val="28"/>
        </w:rPr>
        <mc:AlternateContent>
          <mc:Choice Requires="wps">
            <w:drawing>
              <wp:anchor distT="0" distB="0" distL="114300" distR="114300" simplePos="0" relativeHeight="251684864" behindDoc="0" locked="0" layoutInCell="1" allowOverlap="1">
                <wp:simplePos x="0" y="0"/>
                <wp:positionH relativeFrom="column">
                  <wp:posOffset>-1211580</wp:posOffset>
                </wp:positionH>
                <wp:positionV relativeFrom="paragraph">
                  <wp:posOffset>2327910</wp:posOffset>
                </wp:positionV>
                <wp:extent cx="8181975" cy="635"/>
                <wp:effectExtent l="0" t="0" r="9525" b="37465"/>
                <wp:wrapNone/>
                <wp:docPr id="55"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81975" cy="635"/>
                        </a:xfrm>
                        <a:prstGeom prst="straightConnector1">
                          <a:avLst/>
                        </a:prstGeom>
                        <a:noFill/>
                        <a:ln w="127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 o:spid="_x0000_s1026" type="#_x0000_t32" style="position:absolute;margin-left:-95.4pt;margin-top:183.3pt;width:644.2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" strokecolor="black [3213]" strokeweight="1pt"/>
            </w:pict>
          </mc:Fallback>
        </mc:AlternateContent>
      </w:r>
      <w:r>
        <w:rPr>
          <w:b/>
          <w:noProof/>
          <w:color w:val="433B67"/>
          <w:sz w:val="28"/>
          <w:szCs w:val="28"/>
        </w:rPr>
        <mc:AlternateContent>
          <mc:Choice Requires="wps">
            <w:drawing>
              <wp:anchor distT="0" distB="0" distL="114300" distR="114300" simplePos="0" relativeHeight="251683840" behindDoc="0" locked="0" layoutInCell="1" allowOverlap="1">
                <wp:simplePos x="0" y="0"/>
                <wp:positionH relativeFrom="column">
                  <wp:posOffset>-1363980</wp:posOffset>
                </wp:positionH>
                <wp:positionV relativeFrom="paragraph">
                  <wp:posOffset>2312670</wp:posOffset>
                </wp:positionV>
                <wp:extent cx="8181975" cy="635"/>
                <wp:effectExtent l="0" t="0" r="9525" b="37465"/>
                <wp:wrapNone/>
                <wp:docPr id="54"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81975" cy="635"/>
                        </a:xfrm>
                        <a:prstGeom prst="straightConnector1">
                          <a:avLst/>
                        </a:prstGeom>
                        <a:noFill/>
                        <a:ln w="25400">
                          <a:solidFill>
                            <a:srgbClr val="433B67"/>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 o:spid="_x0000_s1026" type="#_x0000_t32" style="position:absolute;margin-left:-107.4pt;margin-top:182.1pt;width:644.25pt;height:.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" strokecolor="#433b67" strokeweight="2pt"/>
            </w:pict>
          </mc:Fallback>
        </mc:AlternateContent>
      </w:r>
      <w:r>
        <w:rPr>
          <w:b/>
          <w:noProof/>
          <w:color w:val="433B67"/>
          <w:sz w:val="28"/>
          <w:szCs w:val="28"/>
        </w:rPr>
        <mc:AlternateContent>
          <mc:Choice Requires="wps">
            <w:drawing>
              <wp:anchor distT="0" distB="0" distL="114300" distR="114300" simplePos="0" relativeHeight="251682816" behindDoc="0" locked="0" layoutInCell="1" allowOverlap="1">
                <wp:simplePos x="0" y="0"/>
                <wp:positionH relativeFrom="column">
                  <wp:posOffset>-90170</wp:posOffset>
                </wp:positionH>
                <wp:positionV relativeFrom="paragraph">
                  <wp:posOffset>2026920</wp:posOffset>
                </wp:positionV>
                <wp:extent cx="1833880" cy="311150"/>
                <wp:effectExtent l="0" t="0" r="0" b="0"/>
                <wp:wrapNone/>
                <wp:docPr id="53"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388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0384" w:rsidRPr="003A4BA1" w:rsidRDefault="00010384" w:rsidP="00CA7949">
                            <w:pPr>
                              <w:pStyle w:val="TitleProposal"/>
                              <w:rPr>
                                <w:rFonts w:ascii="Arial Black" w:hAnsi="Arial Black"/>
                                <w:color w:val="auto"/>
                              </w:rPr>
                            </w:pPr>
                            <w:r w:rsidRPr="003A4BA1">
                              <w:rPr>
                                <w:rFonts w:ascii="Arial Black" w:hAnsi="Arial Black"/>
                                <w:color w:val="auto"/>
                              </w:rPr>
                              <w:t>The FSC Group</w:t>
                            </w:r>
                          </w:p>
                          <w:p w:rsidR="00010384" w:rsidRPr="000D67D1" w:rsidRDefault="00010384" w:rsidP="00CA7949">
                            <w:pPr>
                              <w:pStyle w:val="TitleProposal"/>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1" type="#_x0000_t202" style="position:absolute;left:0;text-align:left;margin-left:-7.1pt;margin-top:159.6pt;width:144.4pt;height:2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" filled="f" stroked="f">
                <v:textbox>
                  <w:txbxContent>
                    <w:p w:rsidR="00010384" w:rsidRPr="003A4BA1" w:rsidRDefault="00010384" w:rsidP="00CA7949">
                      <w:pPr>
                        <w:pStyle w:val="TitleProposal"/>
                        <w:rPr>
                          <w:rFonts w:ascii="Arial Black" w:hAnsi="Arial Black"/>
                          <w:color w:val="auto"/>
                        </w:rPr>
                      </w:pPr>
                      <w:r w:rsidRPr="003A4BA1">
                        <w:rPr>
                          <w:rFonts w:ascii="Arial Black" w:hAnsi="Arial Black"/>
                          <w:color w:val="auto"/>
                        </w:rPr>
                        <w:t>The FSC Group</w:t>
                      </w:r>
                    </w:p>
                    <w:p w:rsidR="00010384" w:rsidRPr="000D67D1" w:rsidRDefault="00010384" w:rsidP="00CA7949">
                      <w:pPr>
                        <w:pStyle w:val="TitleProposal"/>
                      </w:pPr>
                    </w:p>
                  </w:txbxContent>
                </v:textbox>
              </v:shape>
            </w:pict>
          </mc:Fallback>
        </mc:AlternateContent>
      </w:r>
    </w:p>
    <w:sdt>
      <w:sdtPr>
        <w:rPr>
          <w:rFonts w:asciiTheme="minorHAnsi" w:eastAsiaTheme="minorHAnsi" w:hAnsiTheme="minorHAnsi" w:cstheme="minorBidi"/>
          <w:b w:val="0"/>
          <w:noProof/>
          <w:color w:val="auto"/>
          <w:sz w:val="22"/>
          <w:szCs w:val="22"/>
        </w:rPr>
        <w:id w:val="1780305"/>
        <w:docPartObj>
          <w:docPartGallery w:val="Table of Contents"/>
          <w:docPartUnique/>
        </w:docPartObj>
      </w:sdtPr>
      <w:sdtEndPr>
        <w:rPr>
          <w:rFonts w:ascii="Verdana" w:hAnsi="Verdana" w:cs="Arial"/>
          <w:sz w:val="18"/>
          <w:szCs w:val="24"/>
        </w:rPr>
      </w:sdtEndPr>
      <w:sdtContent>
        <w:p w:rsidR="001A71A9" w:rsidRDefault="001A71A9" w:rsidP="00DB35F9">
          <w:pPr>
            <w:pStyle w:val="TableofContents"/>
            <w:ind w:left="0"/>
          </w:pPr>
          <w:r w:rsidRPr="003A4BA1">
            <w:rPr>
              <w:rFonts w:ascii="Arial Black" w:hAnsi="Arial Black"/>
            </w:rPr>
            <w:t>Table of Contents</w:t>
          </w:r>
        </w:p>
        <w:p w:rsidR="008E36A9" w:rsidRDefault="00591822">
          <w:pPr>
            <w:pStyle w:val="TOC1"/>
            <w:rPr>
              <w:rFonts w:asciiTheme="minorHAnsi" w:eastAsiaTheme="minorEastAsia" w:hAnsiTheme="minorHAnsi" w:cstheme="minorBidi"/>
              <w:sz w:val="22"/>
              <w:szCs w:val="22"/>
            </w:rPr>
          </w:pPr>
          <w:r>
            <w:fldChar w:fldCharType="begin"/>
          </w:r>
          <w:r w:rsidR="006717E3">
            <w:instrText xml:space="preserve"> TOC \o "1-3" \h \z \t "Appendix Heading 1,2,Appendix Heading 2,3,Appendix Heading 3,4" </w:instrText>
          </w:r>
          <w:r>
            <w:fldChar w:fldCharType="separate"/>
          </w:r>
          <w:hyperlink w:anchor="_Toc352323620" w:history="1">
            <w:r w:rsidR="008E36A9" w:rsidRPr="005656B7">
              <w:rPr>
                <w:rStyle w:val="Hyperlink"/>
              </w:rPr>
              <w:t>1</w:t>
            </w:r>
            <w:r w:rsidR="008E36A9">
              <w:rPr>
                <w:rFonts w:asciiTheme="minorHAnsi" w:eastAsiaTheme="minorEastAsia" w:hAnsiTheme="minorHAnsi" w:cstheme="minorBidi"/>
                <w:sz w:val="22"/>
                <w:szCs w:val="22"/>
              </w:rPr>
              <w:tab/>
            </w:r>
            <w:r w:rsidR="008E36A9" w:rsidRPr="005656B7">
              <w:rPr>
                <w:rStyle w:val="Hyperlink"/>
              </w:rPr>
              <w:t>Executive Summary</w:t>
            </w:r>
            <w:r w:rsidR="008E36A9">
              <w:rPr>
                <w:webHidden/>
              </w:rPr>
              <w:tab/>
            </w:r>
            <w:r w:rsidR="008E36A9">
              <w:rPr>
                <w:webHidden/>
              </w:rPr>
              <w:fldChar w:fldCharType="begin"/>
            </w:r>
            <w:r w:rsidR="008E36A9">
              <w:rPr>
                <w:webHidden/>
              </w:rPr>
              <w:instrText xml:space="preserve"> PAGEREF _Toc352323620 \h </w:instrText>
            </w:r>
            <w:r w:rsidR="008E36A9">
              <w:rPr>
                <w:webHidden/>
              </w:rPr>
            </w:r>
            <w:r w:rsidR="008E36A9">
              <w:rPr>
                <w:webHidden/>
              </w:rPr>
              <w:fldChar w:fldCharType="separate"/>
            </w:r>
            <w:r w:rsidR="008E36A9">
              <w:rPr>
                <w:webHidden/>
              </w:rPr>
              <w:t>1</w:t>
            </w:r>
            <w:r w:rsidR="008E36A9">
              <w:rPr>
                <w:webHidden/>
              </w:rPr>
              <w:fldChar w:fldCharType="end"/>
            </w:r>
          </w:hyperlink>
        </w:p>
        <w:p w:rsidR="008E36A9" w:rsidRDefault="008E36A9">
          <w:pPr>
            <w:pStyle w:val="TOC1"/>
            <w:rPr>
              <w:rFonts w:asciiTheme="minorHAnsi" w:eastAsiaTheme="minorEastAsia" w:hAnsiTheme="minorHAnsi" w:cstheme="minorBidi"/>
              <w:sz w:val="22"/>
              <w:szCs w:val="22"/>
            </w:rPr>
          </w:pPr>
          <w:hyperlink w:anchor="_Toc352323621" w:history="1">
            <w:r w:rsidRPr="005656B7">
              <w:rPr>
                <w:rStyle w:val="Hyperlink"/>
              </w:rPr>
              <w:t>2</w:t>
            </w:r>
            <w:r>
              <w:rPr>
                <w:rFonts w:asciiTheme="minorHAnsi" w:eastAsiaTheme="minorEastAsia" w:hAnsiTheme="minorHAnsi" w:cstheme="minorBidi"/>
                <w:sz w:val="22"/>
                <w:szCs w:val="22"/>
              </w:rPr>
              <w:tab/>
            </w:r>
            <w:r w:rsidRPr="005656B7">
              <w:rPr>
                <w:rStyle w:val="Hyperlink"/>
              </w:rPr>
              <w:t>Introduction</w:t>
            </w:r>
            <w:r>
              <w:rPr>
                <w:webHidden/>
              </w:rPr>
              <w:tab/>
            </w:r>
            <w:r>
              <w:rPr>
                <w:webHidden/>
              </w:rPr>
              <w:fldChar w:fldCharType="begin"/>
            </w:r>
            <w:r>
              <w:rPr>
                <w:webHidden/>
              </w:rPr>
              <w:instrText xml:space="preserve"> PAGEREF _Toc352323621 \h </w:instrText>
            </w:r>
            <w:r>
              <w:rPr>
                <w:webHidden/>
              </w:rPr>
            </w:r>
            <w:r>
              <w:rPr>
                <w:webHidden/>
              </w:rPr>
              <w:fldChar w:fldCharType="separate"/>
            </w:r>
            <w:r>
              <w:rPr>
                <w:webHidden/>
              </w:rPr>
              <w:t>6</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22" w:history="1">
            <w:r w:rsidRPr="005656B7">
              <w:rPr>
                <w:rStyle w:val="Hyperlink"/>
              </w:rPr>
              <w:t>2.1</w:t>
            </w:r>
            <w:r>
              <w:rPr>
                <w:rFonts w:asciiTheme="minorHAnsi" w:eastAsiaTheme="minorEastAsia" w:hAnsiTheme="minorHAnsi" w:cstheme="minorBidi"/>
                <w:sz w:val="22"/>
                <w:szCs w:val="22"/>
              </w:rPr>
              <w:tab/>
            </w:r>
            <w:r w:rsidRPr="005656B7">
              <w:rPr>
                <w:rStyle w:val="Hyperlink"/>
              </w:rPr>
              <w:t>Non-residential CPP Programs at California IOUs</w:t>
            </w:r>
            <w:r>
              <w:rPr>
                <w:webHidden/>
              </w:rPr>
              <w:tab/>
            </w:r>
            <w:r>
              <w:rPr>
                <w:webHidden/>
              </w:rPr>
              <w:fldChar w:fldCharType="begin"/>
            </w:r>
            <w:r>
              <w:rPr>
                <w:webHidden/>
              </w:rPr>
              <w:instrText xml:space="preserve"> PAGEREF _Toc352323622 \h </w:instrText>
            </w:r>
            <w:r>
              <w:rPr>
                <w:webHidden/>
              </w:rPr>
            </w:r>
            <w:r>
              <w:rPr>
                <w:webHidden/>
              </w:rPr>
              <w:fldChar w:fldCharType="separate"/>
            </w:r>
            <w:r>
              <w:rPr>
                <w:webHidden/>
              </w:rPr>
              <w:t>6</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23" w:history="1">
            <w:r w:rsidRPr="005656B7">
              <w:rPr>
                <w:rStyle w:val="Hyperlink"/>
              </w:rPr>
              <w:t>2.2</w:t>
            </w:r>
            <w:r>
              <w:rPr>
                <w:rFonts w:asciiTheme="minorHAnsi" w:eastAsiaTheme="minorEastAsia" w:hAnsiTheme="minorHAnsi" w:cstheme="minorBidi"/>
                <w:sz w:val="22"/>
                <w:szCs w:val="22"/>
              </w:rPr>
              <w:tab/>
            </w:r>
            <w:r w:rsidRPr="005656B7">
              <w:rPr>
                <w:rStyle w:val="Hyperlink"/>
              </w:rPr>
              <w:t>Report Organization</w:t>
            </w:r>
            <w:r>
              <w:rPr>
                <w:webHidden/>
              </w:rPr>
              <w:tab/>
            </w:r>
            <w:r>
              <w:rPr>
                <w:webHidden/>
              </w:rPr>
              <w:fldChar w:fldCharType="begin"/>
            </w:r>
            <w:r>
              <w:rPr>
                <w:webHidden/>
              </w:rPr>
              <w:instrText xml:space="preserve"> PAGEREF _Toc352323623 \h </w:instrText>
            </w:r>
            <w:r>
              <w:rPr>
                <w:webHidden/>
              </w:rPr>
            </w:r>
            <w:r>
              <w:rPr>
                <w:webHidden/>
              </w:rPr>
              <w:fldChar w:fldCharType="separate"/>
            </w:r>
            <w:r>
              <w:rPr>
                <w:webHidden/>
              </w:rPr>
              <w:t>10</w:t>
            </w:r>
            <w:r>
              <w:rPr>
                <w:webHidden/>
              </w:rPr>
              <w:fldChar w:fldCharType="end"/>
            </w:r>
          </w:hyperlink>
        </w:p>
        <w:p w:rsidR="008E36A9" w:rsidRDefault="008E36A9">
          <w:pPr>
            <w:pStyle w:val="TOC1"/>
            <w:rPr>
              <w:rFonts w:asciiTheme="minorHAnsi" w:eastAsiaTheme="minorEastAsia" w:hAnsiTheme="minorHAnsi" w:cstheme="minorBidi"/>
              <w:sz w:val="22"/>
              <w:szCs w:val="22"/>
            </w:rPr>
          </w:pPr>
          <w:hyperlink w:anchor="_Toc352323624" w:history="1">
            <w:r w:rsidRPr="005656B7">
              <w:rPr>
                <w:rStyle w:val="Hyperlink"/>
              </w:rPr>
              <w:t>3</w:t>
            </w:r>
            <w:r>
              <w:rPr>
                <w:rFonts w:asciiTheme="minorHAnsi" w:eastAsiaTheme="minorEastAsia" w:hAnsiTheme="minorHAnsi" w:cstheme="minorBidi"/>
                <w:sz w:val="22"/>
                <w:szCs w:val="22"/>
              </w:rPr>
              <w:tab/>
            </w:r>
            <w:r w:rsidRPr="005656B7">
              <w:rPr>
                <w:rStyle w:val="Hyperlink"/>
              </w:rPr>
              <w:t>Methodology</w:t>
            </w:r>
            <w:r>
              <w:rPr>
                <w:webHidden/>
              </w:rPr>
              <w:tab/>
            </w:r>
            <w:r>
              <w:rPr>
                <w:webHidden/>
              </w:rPr>
              <w:fldChar w:fldCharType="begin"/>
            </w:r>
            <w:r>
              <w:rPr>
                <w:webHidden/>
              </w:rPr>
              <w:instrText xml:space="preserve"> PAGEREF _Toc352323624 \h </w:instrText>
            </w:r>
            <w:r>
              <w:rPr>
                <w:webHidden/>
              </w:rPr>
            </w:r>
            <w:r>
              <w:rPr>
                <w:webHidden/>
              </w:rPr>
              <w:fldChar w:fldCharType="separate"/>
            </w:r>
            <w:r>
              <w:rPr>
                <w:webHidden/>
              </w:rPr>
              <w:t>12</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25" w:history="1">
            <w:r w:rsidRPr="005656B7">
              <w:rPr>
                <w:rStyle w:val="Hyperlink"/>
              </w:rPr>
              <w:t>3.1</w:t>
            </w:r>
            <w:r>
              <w:rPr>
                <w:rFonts w:asciiTheme="minorHAnsi" w:eastAsiaTheme="minorEastAsia" w:hAnsiTheme="minorHAnsi" w:cstheme="minorBidi"/>
                <w:sz w:val="22"/>
                <w:szCs w:val="22"/>
              </w:rPr>
              <w:tab/>
            </w:r>
            <w:r w:rsidRPr="005656B7">
              <w:rPr>
                <w:rStyle w:val="Hyperlink"/>
              </w:rPr>
              <w:t>Ex post Evaluation Methodology</w:t>
            </w:r>
            <w:r>
              <w:rPr>
                <w:webHidden/>
              </w:rPr>
              <w:tab/>
            </w:r>
            <w:r>
              <w:rPr>
                <w:webHidden/>
              </w:rPr>
              <w:fldChar w:fldCharType="begin"/>
            </w:r>
            <w:r>
              <w:rPr>
                <w:webHidden/>
              </w:rPr>
              <w:instrText xml:space="preserve"> PAGEREF _Toc352323625 \h </w:instrText>
            </w:r>
            <w:r>
              <w:rPr>
                <w:webHidden/>
              </w:rPr>
            </w:r>
            <w:r>
              <w:rPr>
                <w:webHidden/>
              </w:rPr>
              <w:fldChar w:fldCharType="separate"/>
            </w:r>
            <w:r>
              <w:rPr>
                <w:webHidden/>
              </w:rPr>
              <w:t>12</w:t>
            </w:r>
            <w:r>
              <w:rPr>
                <w:webHidden/>
              </w:rPr>
              <w:fldChar w:fldCharType="end"/>
            </w:r>
          </w:hyperlink>
        </w:p>
        <w:p w:rsidR="008E36A9" w:rsidRDefault="008E36A9">
          <w:pPr>
            <w:pStyle w:val="TOC3"/>
            <w:rPr>
              <w:rFonts w:asciiTheme="minorHAnsi" w:hAnsiTheme="minorHAnsi" w:cstheme="minorBidi"/>
              <w:sz w:val="22"/>
              <w:szCs w:val="22"/>
            </w:rPr>
          </w:pPr>
          <w:hyperlink w:anchor="_Toc352323626" w:history="1">
            <w:r w:rsidRPr="005656B7">
              <w:rPr>
                <w:rStyle w:val="Hyperlink"/>
              </w:rPr>
              <w:t>3.1.1</w:t>
            </w:r>
            <w:r>
              <w:rPr>
                <w:rFonts w:asciiTheme="minorHAnsi" w:hAnsiTheme="minorHAnsi" w:cstheme="minorBidi"/>
                <w:sz w:val="22"/>
                <w:szCs w:val="22"/>
              </w:rPr>
              <w:tab/>
            </w:r>
            <w:r w:rsidRPr="005656B7">
              <w:rPr>
                <w:rStyle w:val="Hyperlink"/>
              </w:rPr>
              <w:t>Comparison of Control Groups and CPP Population</w:t>
            </w:r>
            <w:r>
              <w:rPr>
                <w:webHidden/>
              </w:rPr>
              <w:tab/>
            </w:r>
            <w:r>
              <w:rPr>
                <w:webHidden/>
              </w:rPr>
              <w:fldChar w:fldCharType="begin"/>
            </w:r>
            <w:r>
              <w:rPr>
                <w:webHidden/>
              </w:rPr>
              <w:instrText xml:space="preserve"> PAGEREF _Toc352323626 \h </w:instrText>
            </w:r>
            <w:r>
              <w:rPr>
                <w:webHidden/>
              </w:rPr>
            </w:r>
            <w:r>
              <w:rPr>
                <w:webHidden/>
              </w:rPr>
              <w:fldChar w:fldCharType="separate"/>
            </w:r>
            <w:r>
              <w:rPr>
                <w:webHidden/>
              </w:rPr>
              <w:t>13</w:t>
            </w:r>
            <w:r>
              <w:rPr>
                <w:webHidden/>
              </w:rPr>
              <w:fldChar w:fldCharType="end"/>
            </w:r>
          </w:hyperlink>
        </w:p>
        <w:p w:rsidR="008E36A9" w:rsidRDefault="008E36A9">
          <w:pPr>
            <w:pStyle w:val="TOC3"/>
            <w:rPr>
              <w:rFonts w:asciiTheme="minorHAnsi" w:hAnsiTheme="minorHAnsi" w:cstheme="minorBidi"/>
              <w:sz w:val="22"/>
              <w:szCs w:val="22"/>
            </w:rPr>
          </w:pPr>
          <w:hyperlink w:anchor="_Toc352323627" w:history="1">
            <w:r w:rsidRPr="005656B7">
              <w:rPr>
                <w:rStyle w:val="Hyperlink"/>
              </w:rPr>
              <w:t>3.1.2</w:t>
            </w:r>
            <w:r>
              <w:rPr>
                <w:rFonts w:asciiTheme="minorHAnsi" w:hAnsiTheme="minorHAnsi" w:cstheme="minorBidi"/>
                <w:sz w:val="22"/>
                <w:szCs w:val="22"/>
              </w:rPr>
              <w:tab/>
            </w:r>
            <w:r w:rsidRPr="005656B7">
              <w:rPr>
                <w:rStyle w:val="Hyperlink"/>
              </w:rPr>
              <w:t>Regression Models and Estimating Sample</w:t>
            </w:r>
            <w:r>
              <w:rPr>
                <w:webHidden/>
              </w:rPr>
              <w:tab/>
            </w:r>
            <w:r>
              <w:rPr>
                <w:webHidden/>
              </w:rPr>
              <w:fldChar w:fldCharType="begin"/>
            </w:r>
            <w:r>
              <w:rPr>
                <w:webHidden/>
              </w:rPr>
              <w:instrText xml:space="preserve"> PAGEREF _Toc352323627 \h </w:instrText>
            </w:r>
            <w:r>
              <w:rPr>
                <w:webHidden/>
              </w:rPr>
            </w:r>
            <w:r>
              <w:rPr>
                <w:webHidden/>
              </w:rPr>
              <w:fldChar w:fldCharType="separate"/>
            </w:r>
            <w:r>
              <w:rPr>
                <w:webHidden/>
              </w:rPr>
              <w:t>16</w:t>
            </w:r>
            <w:r>
              <w:rPr>
                <w:webHidden/>
              </w:rPr>
              <w:fldChar w:fldCharType="end"/>
            </w:r>
          </w:hyperlink>
        </w:p>
        <w:p w:rsidR="008E36A9" w:rsidRDefault="008E36A9">
          <w:pPr>
            <w:pStyle w:val="TOC3"/>
            <w:rPr>
              <w:rFonts w:asciiTheme="minorHAnsi" w:hAnsiTheme="minorHAnsi" w:cstheme="minorBidi"/>
              <w:sz w:val="22"/>
              <w:szCs w:val="22"/>
            </w:rPr>
          </w:pPr>
          <w:hyperlink w:anchor="_Toc352323628" w:history="1">
            <w:r w:rsidRPr="005656B7">
              <w:rPr>
                <w:rStyle w:val="Hyperlink"/>
              </w:rPr>
              <w:t>3.1.3</w:t>
            </w:r>
            <w:r>
              <w:rPr>
                <w:rFonts w:asciiTheme="minorHAnsi" w:hAnsiTheme="minorHAnsi" w:cstheme="minorBidi"/>
                <w:sz w:val="22"/>
                <w:szCs w:val="22"/>
              </w:rPr>
              <w:tab/>
            </w:r>
            <w:r w:rsidRPr="005656B7">
              <w:rPr>
                <w:rStyle w:val="Hyperlink"/>
              </w:rPr>
              <w:t>Validation and Accuracy of Models</w:t>
            </w:r>
            <w:r>
              <w:rPr>
                <w:webHidden/>
              </w:rPr>
              <w:tab/>
            </w:r>
            <w:r>
              <w:rPr>
                <w:webHidden/>
              </w:rPr>
              <w:fldChar w:fldCharType="begin"/>
            </w:r>
            <w:r>
              <w:rPr>
                <w:webHidden/>
              </w:rPr>
              <w:instrText xml:space="preserve"> PAGEREF _Toc352323628 \h </w:instrText>
            </w:r>
            <w:r>
              <w:rPr>
                <w:webHidden/>
              </w:rPr>
            </w:r>
            <w:r>
              <w:rPr>
                <w:webHidden/>
              </w:rPr>
              <w:fldChar w:fldCharType="separate"/>
            </w:r>
            <w:r>
              <w:rPr>
                <w:webHidden/>
              </w:rPr>
              <w:t>18</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29" w:history="1">
            <w:r w:rsidRPr="005656B7">
              <w:rPr>
                <w:rStyle w:val="Hyperlink"/>
              </w:rPr>
              <w:t>3.2</w:t>
            </w:r>
            <w:r>
              <w:rPr>
                <w:rFonts w:asciiTheme="minorHAnsi" w:eastAsiaTheme="minorEastAsia" w:hAnsiTheme="minorHAnsi" w:cstheme="minorBidi"/>
                <w:sz w:val="22"/>
                <w:szCs w:val="22"/>
              </w:rPr>
              <w:tab/>
            </w:r>
            <w:r w:rsidRPr="005656B7">
              <w:rPr>
                <w:rStyle w:val="Hyperlink"/>
              </w:rPr>
              <w:t>Ex Ante Impact Estimation Methodology</w:t>
            </w:r>
            <w:r>
              <w:rPr>
                <w:webHidden/>
              </w:rPr>
              <w:tab/>
            </w:r>
            <w:r>
              <w:rPr>
                <w:webHidden/>
              </w:rPr>
              <w:fldChar w:fldCharType="begin"/>
            </w:r>
            <w:r>
              <w:rPr>
                <w:webHidden/>
              </w:rPr>
              <w:instrText xml:space="preserve"> PAGEREF _Toc352323629 \h </w:instrText>
            </w:r>
            <w:r>
              <w:rPr>
                <w:webHidden/>
              </w:rPr>
            </w:r>
            <w:r>
              <w:rPr>
                <w:webHidden/>
              </w:rPr>
              <w:fldChar w:fldCharType="separate"/>
            </w:r>
            <w:r>
              <w:rPr>
                <w:webHidden/>
              </w:rPr>
              <w:t>21</w:t>
            </w:r>
            <w:r>
              <w:rPr>
                <w:webHidden/>
              </w:rPr>
              <w:fldChar w:fldCharType="end"/>
            </w:r>
          </w:hyperlink>
        </w:p>
        <w:p w:rsidR="008E36A9" w:rsidRDefault="008E36A9">
          <w:pPr>
            <w:pStyle w:val="TOC1"/>
            <w:rPr>
              <w:rFonts w:asciiTheme="minorHAnsi" w:eastAsiaTheme="minorEastAsia" w:hAnsiTheme="minorHAnsi" w:cstheme="minorBidi"/>
              <w:sz w:val="22"/>
              <w:szCs w:val="22"/>
            </w:rPr>
          </w:pPr>
          <w:hyperlink w:anchor="_Toc352323630" w:history="1">
            <w:r w:rsidRPr="005656B7">
              <w:rPr>
                <w:rStyle w:val="Hyperlink"/>
              </w:rPr>
              <w:t>4</w:t>
            </w:r>
            <w:r>
              <w:rPr>
                <w:rFonts w:asciiTheme="minorHAnsi" w:eastAsiaTheme="minorEastAsia" w:hAnsiTheme="minorHAnsi" w:cstheme="minorBidi"/>
                <w:sz w:val="22"/>
                <w:szCs w:val="22"/>
              </w:rPr>
              <w:tab/>
            </w:r>
            <w:r w:rsidRPr="005656B7">
              <w:rPr>
                <w:rStyle w:val="Hyperlink"/>
              </w:rPr>
              <w:t>PG&amp;E Ex Post Load Impacts</w:t>
            </w:r>
            <w:r>
              <w:rPr>
                <w:webHidden/>
              </w:rPr>
              <w:tab/>
            </w:r>
            <w:r>
              <w:rPr>
                <w:webHidden/>
              </w:rPr>
              <w:fldChar w:fldCharType="begin"/>
            </w:r>
            <w:r>
              <w:rPr>
                <w:webHidden/>
              </w:rPr>
              <w:instrText xml:space="preserve"> PAGEREF _Toc352323630 \h </w:instrText>
            </w:r>
            <w:r>
              <w:rPr>
                <w:webHidden/>
              </w:rPr>
            </w:r>
            <w:r>
              <w:rPr>
                <w:webHidden/>
              </w:rPr>
              <w:fldChar w:fldCharType="separate"/>
            </w:r>
            <w:r>
              <w:rPr>
                <w:webHidden/>
              </w:rPr>
              <w:t>25</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31" w:history="1">
            <w:r w:rsidRPr="005656B7">
              <w:rPr>
                <w:rStyle w:val="Hyperlink"/>
              </w:rPr>
              <w:t>4.1</w:t>
            </w:r>
            <w:r>
              <w:rPr>
                <w:rFonts w:asciiTheme="minorHAnsi" w:eastAsiaTheme="minorEastAsia" w:hAnsiTheme="minorHAnsi" w:cstheme="minorBidi"/>
                <w:sz w:val="22"/>
                <w:szCs w:val="22"/>
              </w:rPr>
              <w:tab/>
            </w:r>
            <w:r w:rsidRPr="005656B7">
              <w:rPr>
                <w:rStyle w:val="Hyperlink"/>
              </w:rPr>
              <w:t>Average Event Day Impacts</w:t>
            </w:r>
            <w:r>
              <w:rPr>
                <w:webHidden/>
              </w:rPr>
              <w:tab/>
            </w:r>
            <w:r>
              <w:rPr>
                <w:webHidden/>
              </w:rPr>
              <w:fldChar w:fldCharType="begin"/>
            </w:r>
            <w:r>
              <w:rPr>
                <w:webHidden/>
              </w:rPr>
              <w:instrText xml:space="preserve"> PAGEREF _Toc352323631 \h </w:instrText>
            </w:r>
            <w:r>
              <w:rPr>
                <w:webHidden/>
              </w:rPr>
            </w:r>
            <w:r>
              <w:rPr>
                <w:webHidden/>
              </w:rPr>
              <w:fldChar w:fldCharType="separate"/>
            </w:r>
            <w:r>
              <w:rPr>
                <w:webHidden/>
              </w:rPr>
              <w:t>26</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32" w:history="1">
            <w:r w:rsidRPr="005656B7">
              <w:rPr>
                <w:rStyle w:val="Hyperlink"/>
              </w:rPr>
              <w:t>4.2</w:t>
            </w:r>
            <w:r>
              <w:rPr>
                <w:rFonts w:asciiTheme="minorHAnsi" w:eastAsiaTheme="minorEastAsia" w:hAnsiTheme="minorHAnsi" w:cstheme="minorBidi"/>
                <w:sz w:val="22"/>
                <w:szCs w:val="22"/>
              </w:rPr>
              <w:tab/>
            </w:r>
            <w:r w:rsidRPr="005656B7">
              <w:rPr>
                <w:rStyle w:val="Hyperlink"/>
              </w:rPr>
              <w:t>Load Impacts by Industry</w:t>
            </w:r>
            <w:r>
              <w:rPr>
                <w:webHidden/>
              </w:rPr>
              <w:tab/>
            </w:r>
            <w:r>
              <w:rPr>
                <w:webHidden/>
              </w:rPr>
              <w:fldChar w:fldCharType="begin"/>
            </w:r>
            <w:r>
              <w:rPr>
                <w:webHidden/>
              </w:rPr>
              <w:instrText xml:space="preserve"> PAGEREF _Toc352323632 \h </w:instrText>
            </w:r>
            <w:r>
              <w:rPr>
                <w:webHidden/>
              </w:rPr>
            </w:r>
            <w:r>
              <w:rPr>
                <w:webHidden/>
              </w:rPr>
              <w:fldChar w:fldCharType="separate"/>
            </w:r>
            <w:r>
              <w:rPr>
                <w:webHidden/>
              </w:rPr>
              <w:t>28</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33" w:history="1">
            <w:r w:rsidRPr="005656B7">
              <w:rPr>
                <w:rStyle w:val="Hyperlink"/>
              </w:rPr>
              <w:t>4.3</w:t>
            </w:r>
            <w:r>
              <w:rPr>
                <w:rFonts w:asciiTheme="minorHAnsi" w:eastAsiaTheme="minorEastAsia" w:hAnsiTheme="minorHAnsi" w:cstheme="minorBidi"/>
                <w:sz w:val="22"/>
                <w:szCs w:val="22"/>
              </w:rPr>
              <w:tab/>
            </w:r>
            <w:r w:rsidRPr="005656B7">
              <w:rPr>
                <w:rStyle w:val="Hyperlink"/>
              </w:rPr>
              <w:t>Load Impacts by Local Capacity Area</w:t>
            </w:r>
            <w:r>
              <w:rPr>
                <w:webHidden/>
              </w:rPr>
              <w:tab/>
            </w:r>
            <w:r>
              <w:rPr>
                <w:webHidden/>
              </w:rPr>
              <w:fldChar w:fldCharType="begin"/>
            </w:r>
            <w:r>
              <w:rPr>
                <w:webHidden/>
              </w:rPr>
              <w:instrText xml:space="preserve"> PAGEREF _Toc352323633 \h </w:instrText>
            </w:r>
            <w:r>
              <w:rPr>
                <w:webHidden/>
              </w:rPr>
            </w:r>
            <w:r>
              <w:rPr>
                <w:webHidden/>
              </w:rPr>
              <w:fldChar w:fldCharType="separate"/>
            </w:r>
            <w:r>
              <w:rPr>
                <w:webHidden/>
              </w:rPr>
              <w:t>29</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34" w:history="1">
            <w:r w:rsidRPr="005656B7">
              <w:rPr>
                <w:rStyle w:val="Hyperlink"/>
              </w:rPr>
              <w:t>4.4</w:t>
            </w:r>
            <w:r>
              <w:rPr>
                <w:rFonts w:asciiTheme="minorHAnsi" w:eastAsiaTheme="minorEastAsia" w:hAnsiTheme="minorHAnsi" w:cstheme="minorBidi"/>
                <w:sz w:val="22"/>
                <w:szCs w:val="22"/>
              </w:rPr>
              <w:tab/>
            </w:r>
            <w:r w:rsidRPr="005656B7">
              <w:rPr>
                <w:rStyle w:val="Hyperlink"/>
              </w:rPr>
              <w:t>Load Impacts for Multi-DR Program Participants</w:t>
            </w:r>
            <w:r>
              <w:rPr>
                <w:webHidden/>
              </w:rPr>
              <w:tab/>
            </w:r>
            <w:r>
              <w:rPr>
                <w:webHidden/>
              </w:rPr>
              <w:fldChar w:fldCharType="begin"/>
            </w:r>
            <w:r>
              <w:rPr>
                <w:webHidden/>
              </w:rPr>
              <w:instrText xml:space="preserve"> PAGEREF _Toc352323634 \h </w:instrText>
            </w:r>
            <w:r>
              <w:rPr>
                <w:webHidden/>
              </w:rPr>
            </w:r>
            <w:r>
              <w:rPr>
                <w:webHidden/>
              </w:rPr>
              <w:fldChar w:fldCharType="separate"/>
            </w:r>
            <w:r>
              <w:rPr>
                <w:webHidden/>
              </w:rPr>
              <w:t>31</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35" w:history="1">
            <w:r w:rsidRPr="005656B7">
              <w:rPr>
                <w:rStyle w:val="Hyperlink"/>
              </w:rPr>
              <w:t>4.5</w:t>
            </w:r>
            <w:r>
              <w:rPr>
                <w:rFonts w:asciiTheme="minorHAnsi" w:eastAsiaTheme="minorEastAsia" w:hAnsiTheme="minorHAnsi" w:cstheme="minorBidi"/>
                <w:sz w:val="22"/>
                <w:szCs w:val="22"/>
              </w:rPr>
              <w:tab/>
            </w:r>
            <w:r w:rsidRPr="005656B7">
              <w:rPr>
                <w:rStyle w:val="Hyperlink"/>
              </w:rPr>
              <w:t>TI and AutoDR Load Impacts and Realization Rates</w:t>
            </w:r>
            <w:r>
              <w:rPr>
                <w:webHidden/>
              </w:rPr>
              <w:tab/>
            </w:r>
            <w:r>
              <w:rPr>
                <w:webHidden/>
              </w:rPr>
              <w:fldChar w:fldCharType="begin"/>
            </w:r>
            <w:r>
              <w:rPr>
                <w:webHidden/>
              </w:rPr>
              <w:instrText xml:space="preserve"> PAGEREF _Toc352323635 \h </w:instrText>
            </w:r>
            <w:r>
              <w:rPr>
                <w:webHidden/>
              </w:rPr>
            </w:r>
            <w:r>
              <w:rPr>
                <w:webHidden/>
              </w:rPr>
              <w:fldChar w:fldCharType="separate"/>
            </w:r>
            <w:r>
              <w:rPr>
                <w:webHidden/>
              </w:rPr>
              <w:t>32</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36" w:history="1">
            <w:r w:rsidRPr="005656B7">
              <w:rPr>
                <w:rStyle w:val="Hyperlink"/>
              </w:rPr>
              <w:t>4.6</w:t>
            </w:r>
            <w:r>
              <w:rPr>
                <w:rFonts w:asciiTheme="minorHAnsi" w:eastAsiaTheme="minorEastAsia" w:hAnsiTheme="minorHAnsi" w:cstheme="minorBidi"/>
                <w:sz w:val="22"/>
                <w:szCs w:val="22"/>
              </w:rPr>
              <w:tab/>
            </w:r>
            <w:r w:rsidRPr="005656B7">
              <w:rPr>
                <w:rStyle w:val="Hyperlink"/>
              </w:rPr>
              <w:t>Default CPP Persistence and Weather Sensitivity</w:t>
            </w:r>
            <w:r>
              <w:rPr>
                <w:webHidden/>
              </w:rPr>
              <w:tab/>
            </w:r>
            <w:r>
              <w:rPr>
                <w:webHidden/>
              </w:rPr>
              <w:fldChar w:fldCharType="begin"/>
            </w:r>
            <w:r>
              <w:rPr>
                <w:webHidden/>
              </w:rPr>
              <w:instrText xml:space="preserve"> PAGEREF _Toc352323636 \h </w:instrText>
            </w:r>
            <w:r>
              <w:rPr>
                <w:webHidden/>
              </w:rPr>
            </w:r>
            <w:r>
              <w:rPr>
                <w:webHidden/>
              </w:rPr>
              <w:fldChar w:fldCharType="separate"/>
            </w:r>
            <w:r>
              <w:rPr>
                <w:webHidden/>
              </w:rPr>
              <w:t>33</w:t>
            </w:r>
            <w:r>
              <w:rPr>
                <w:webHidden/>
              </w:rPr>
              <w:fldChar w:fldCharType="end"/>
            </w:r>
          </w:hyperlink>
        </w:p>
        <w:p w:rsidR="008E36A9" w:rsidRDefault="008E36A9">
          <w:pPr>
            <w:pStyle w:val="TOC1"/>
            <w:rPr>
              <w:rFonts w:asciiTheme="minorHAnsi" w:eastAsiaTheme="minorEastAsia" w:hAnsiTheme="minorHAnsi" w:cstheme="minorBidi"/>
              <w:sz w:val="22"/>
              <w:szCs w:val="22"/>
            </w:rPr>
          </w:pPr>
          <w:hyperlink w:anchor="_Toc352323637" w:history="1">
            <w:r w:rsidRPr="005656B7">
              <w:rPr>
                <w:rStyle w:val="Hyperlink"/>
              </w:rPr>
              <w:t>5</w:t>
            </w:r>
            <w:r>
              <w:rPr>
                <w:rFonts w:asciiTheme="minorHAnsi" w:eastAsiaTheme="minorEastAsia" w:hAnsiTheme="minorHAnsi" w:cstheme="minorBidi"/>
                <w:sz w:val="22"/>
                <w:szCs w:val="22"/>
              </w:rPr>
              <w:tab/>
            </w:r>
            <w:r w:rsidRPr="005656B7">
              <w:rPr>
                <w:rStyle w:val="Hyperlink"/>
              </w:rPr>
              <w:t>SCE Ex Post Load Impacts</w:t>
            </w:r>
            <w:r>
              <w:rPr>
                <w:webHidden/>
              </w:rPr>
              <w:tab/>
            </w:r>
            <w:r>
              <w:rPr>
                <w:webHidden/>
              </w:rPr>
              <w:fldChar w:fldCharType="begin"/>
            </w:r>
            <w:r>
              <w:rPr>
                <w:webHidden/>
              </w:rPr>
              <w:instrText xml:space="preserve"> PAGEREF _Toc352323637 \h </w:instrText>
            </w:r>
            <w:r>
              <w:rPr>
                <w:webHidden/>
              </w:rPr>
            </w:r>
            <w:r>
              <w:rPr>
                <w:webHidden/>
              </w:rPr>
              <w:fldChar w:fldCharType="separate"/>
            </w:r>
            <w:r>
              <w:rPr>
                <w:webHidden/>
              </w:rPr>
              <w:t>35</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38" w:history="1">
            <w:r w:rsidRPr="005656B7">
              <w:rPr>
                <w:rStyle w:val="Hyperlink"/>
              </w:rPr>
              <w:t>5.1</w:t>
            </w:r>
            <w:r>
              <w:rPr>
                <w:rFonts w:asciiTheme="minorHAnsi" w:eastAsiaTheme="minorEastAsia" w:hAnsiTheme="minorHAnsi" w:cstheme="minorBidi"/>
                <w:sz w:val="22"/>
                <w:szCs w:val="22"/>
              </w:rPr>
              <w:tab/>
            </w:r>
            <w:r w:rsidRPr="005656B7">
              <w:rPr>
                <w:rStyle w:val="Hyperlink"/>
              </w:rPr>
              <w:t>Average Event Day Impacts</w:t>
            </w:r>
            <w:r>
              <w:rPr>
                <w:webHidden/>
              </w:rPr>
              <w:tab/>
            </w:r>
            <w:r>
              <w:rPr>
                <w:webHidden/>
              </w:rPr>
              <w:fldChar w:fldCharType="begin"/>
            </w:r>
            <w:r>
              <w:rPr>
                <w:webHidden/>
              </w:rPr>
              <w:instrText xml:space="preserve"> PAGEREF _Toc352323638 \h </w:instrText>
            </w:r>
            <w:r>
              <w:rPr>
                <w:webHidden/>
              </w:rPr>
            </w:r>
            <w:r>
              <w:rPr>
                <w:webHidden/>
              </w:rPr>
              <w:fldChar w:fldCharType="separate"/>
            </w:r>
            <w:r>
              <w:rPr>
                <w:webHidden/>
              </w:rPr>
              <w:t>36</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39" w:history="1">
            <w:r w:rsidRPr="005656B7">
              <w:rPr>
                <w:rStyle w:val="Hyperlink"/>
              </w:rPr>
              <w:t>5.2</w:t>
            </w:r>
            <w:r>
              <w:rPr>
                <w:rFonts w:asciiTheme="minorHAnsi" w:eastAsiaTheme="minorEastAsia" w:hAnsiTheme="minorHAnsi" w:cstheme="minorBidi"/>
                <w:sz w:val="22"/>
                <w:szCs w:val="22"/>
              </w:rPr>
              <w:tab/>
            </w:r>
            <w:r w:rsidRPr="005656B7">
              <w:rPr>
                <w:rStyle w:val="Hyperlink"/>
              </w:rPr>
              <w:t>Load Impacts by Industry</w:t>
            </w:r>
            <w:r>
              <w:rPr>
                <w:webHidden/>
              </w:rPr>
              <w:tab/>
            </w:r>
            <w:r>
              <w:rPr>
                <w:webHidden/>
              </w:rPr>
              <w:fldChar w:fldCharType="begin"/>
            </w:r>
            <w:r>
              <w:rPr>
                <w:webHidden/>
              </w:rPr>
              <w:instrText xml:space="preserve"> PAGEREF _Toc352323639 \h </w:instrText>
            </w:r>
            <w:r>
              <w:rPr>
                <w:webHidden/>
              </w:rPr>
            </w:r>
            <w:r>
              <w:rPr>
                <w:webHidden/>
              </w:rPr>
              <w:fldChar w:fldCharType="separate"/>
            </w:r>
            <w:r>
              <w:rPr>
                <w:webHidden/>
              </w:rPr>
              <w:t>38</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40" w:history="1">
            <w:r w:rsidRPr="005656B7">
              <w:rPr>
                <w:rStyle w:val="Hyperlink"/>
              </w:rPr>
              <w:t>5.3</w:t>
            </w:r>
            <w:r>
              <w:rPr>
                <w:rFonts w:asciiTheme="minorHAnsi" w:eastAsiaTheme="minorEastAsia" w:hAnsiTheme="minorHAnsi" w:cstheme="minorBidi"/>
                <w:sz w:val="22"/>
                <w:szCs w:val="22"/>
              </w:rPr>
              <w:tab/>
            </w:r>
            <w:r w:rsidRPr="005656B7">
              <w:rPr>
                <w:rStyle w:val="Hyperlink"/>
              </w:rPr>
              <w:t>Load Impacts by Local Capacity Area and Transmission Region</w:t>
            </w:r>
            <w:r>
              <w:rPr>
                <w:webHidden/>
              </w:rPr>
              <w:tab/>
            </w:r>
            <w:r>
              <w:rPr>
                <w:webHidden/>
              </w:rPr>
              <w:fldChar w:fldCharType="begin"/>
            </w:r>
            <w:r>
              <w:rPr>
                <w:webHidden/>
              </w:rPr>
              <w:instrText xml:space="preserve"> PAGEREF _Toc352323640 \h </w:instrText>
            </w:r>
            <w:r>
              <w:rPr>
                <w:webHidden/>
              </w:rPr>
            </w:r>
            <w:r>
              <w:rPr>
                <w:webHidden/>
              </w:rPr>
              <w:fldChar w:fldCharType="separate"/>
            </w:r>
            <w:r>
              <w:rPr>
                <w:webHidden/>
              </w:rPr>
              <w:t>39</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41" w:history="1">
            <w:r w:rsidRPr="005656B7">
              <w:rPr>
                <w:rStyle w:val="Hyperlink"/>
              </w:rPr>
              <w:t>5.4</w:t>
            </w:r>
            <w:r>
              <w:rPr>
                <w:rFonts w:asciiTheme="minorHAnsi" w:eastAsiaTheme="minorEastAsia" w:hAnsiTheme="minorHAnsi" w:cstheme="minorBidi"/>
                <w:sz w:val="22"/>
                <w:szCs w:val="22"/>
              </w:rPr>
              <w:tab/>
            </w:r>
            <w:r w:rsidRPr="005656B7">
              <w:rPr>
                <w:rStyle w:val="Hyperlink"/>
              </w:rPr>
              <w:t>Load Impacts by Customer Size</w:t>
            </w:r>
            <w:r>
              <w:rPr>
                <w:webHidden/>
              </w:rPr>
              <w:tab/>
            </w:r>
            <w:r>
              <w:rPr>
                <w:webHidden/>
              </w:rPr>
              <w:fldChar w:fldCharType="begin"/>
            </w:r>
            <w:r>
              <w:rPr>
                <w:webHidden/>
              </w:rPr>
              <w:instrText xml:space="preserve"> PAGEREF _Toc352323641 \h </w:instrText>
            </w:r>
            <w:r>
              <w:rPr>
                <w:webHidden/>
              </w:rPr>
            </w:r>
            <w:r>
              <w:rPr>
                <w:webHidden/>
              </w:rPr>
              <w:fldChar w:fldCharType="separate"/>
            </w:r>
            <w:r>
              <w:rPr>
                <w:webHidden/>
              </w:rPr>
              <w:t>40</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42" w:history="1">
            <w:r w:rsidRPr="005656B7">
              <w:rPr>
                <w:rStyle w:val="Hyperlink"/>
              </w:rPr>
              <w:t>5.5</w:t>
            </w:r>
            <w:r>
              <w:rPr>
                <w:rFonts w:asciiTheme="minorHAnsi" w:eastAsiaTheme="minorEastAsia" w:hAnsiTheme="minorHAnsi" w:cstheme="minorBidi"/>
                <w:sz w:val="22"/>
                <w:szCs w:val="22"/>
              </w:rPr>
              <w:tab/>
            </w:r>
            <w:r w:rsidRPr="005656B7">
              <w:rPr>
                <w:rStyle w:val="Hyperlink"/>
              </w:rPr>
              <w:t>Load Impacts for Multi-DR Program Participants</w:t>
            </w:r>
            <w:r>
              <w:rPr>
                <w:webHidden/>
              </w:rPr>
              <w:tab/>
            </w:r>
            <w:r>
              <w:rPr>
                <w:webHidden/>
              </w:rPr>
              <w:fldChar w:fldCharType="begin"/>
            </w:r>
            <w:r>
              <w:rPr>
                <w:webHidden/>
              </w:rPr>
              <w:instrText xml:space="preserve"> PAGEREF _Toc352323642 \h </w:instrText>
            </w:r>
            <w:r>
              <w:rPr>
                <w:webHidden/>
              </w:rPr>
            </w:r>
            <w:r>
              <w:rPr>
                <w:webHidden/>
              </w:rPr>
              <w:fldChar w:fldCharType="separate"/>
            </w:r>
            <w:r>
              <w:rPr>
                <w:webHidden/>
              </w:rPr>
              <w:t>41</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43" w:history="1">
            <w:r w:rsidRPr="005656B7">
              <w:rPr>
                <w:rStyle w:val="Hyperlink"/>
              </w:rPr>
              <w:t>5.6</w:t>
            </w:r>
            <w:r>
              <w:rPr>
                <w:rFonts w:asciiTheme="minorHAnsi" w:eastAsiaTheme="minorEastAsia" w:hAnsiTheme="minorHAnsi" w:cstheme="minorBidi"/>
                <w:sz w:val="22"/>
                <w:szCs w:val="22"/>
              </w:rPr>
              <w:tab/>
            </w:r>
            <w:r w:rsidRPr="005656B7">
              <w:rPr>
                <w:rStyle w:val="Hyperlink"/>
              </w:rPr>
              <w:t>TI and AutoDR Load Impacts and Realization Rates</w:t>
            </w:r>
            <w:r>
              <w:rPr>
                <w:webHidden/>
              </w:rPr>
              <w:tab/>
            </w:r>
            <w:r>
              <w:rPr>
                <w:webHidden/>
              </w:rPr>
              <w:fldChar w:fldCharType="begin"/>
            </w:r>
            <w:r>
              <w:rPr>
                <w:webHidden/>
              </w:rPr>
              <w:instrText xml:space="preserve"> PAGEREF _Toc352323643 \h </w:instrText>
            </w:r>
            <w:r>
              <w:rPr>
                <w:webHidden/>
              </w:rPr>
            </w:r>
            <w:r>
              <w:rPr>
                <w:webHidden/>
              </w:rPr>
              <w:fldChar w:fldCharType="separate"/>
            </w:r>
            <w:r>
              <w:rPr>
                <w:webHidden/>
              </w:rPr>
              <w:t>42</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44" w:history="1">
            <w:r w:rsidRPr="005656B7">
              <w:rPr>
                <w:rStyle w:val="Hyperlink"/>
              </w:rPr>
              <w:t>5.7</w:t>
            </w:r>
            <w:r>
              <w:rPr>
                <w:rFonts w:asciiTheme="minorHAnsi" w:eastAsiaTheme="minorEastAsia" w:hAnsiTheme="minorHAnsi" w:cstheme="minorBidi"/>
                <w:sz w:val="22"/>
                <w:szCs w:val="22"/>
              </w:rPr>
              <w:tab/>
            </w:r>
            <w:r w:rsidRPr="005656B7">
              <w:rPr>
                <w:rStyle w:val="Hyperlink"/>
              </w:rPr>
              <w:t>Default CPP Persistence and Weather Sensitivity</w:t>
            </w:r>
            <w:r>
              <w:rPr>
                <w:webHidden/>
              </w:rPr>
              <w:tab/>
            </w:r>
            <w:r>
              <w:rPr>
                <w:webHidden/>
              </w:rPr>
              <w:fldChar w:fldCharType="begin"/>
            </w:r>
            <w:r>
              <w:rPr>
                <w:webHidden/>
              </w:rPr>
              <w:instrText xml:space="preserve"> PAGEREF _Toc352323644 \h </w:instrText>
            </w:r>
            <w:r>
              <w:rPr>
                <w:webHidden/>
              </w:rPr>
            </w:r>
            <w:r>
              <w:rPr>
                <w:webHidden/>
              </w:rPr>
              <w:fldChar w:fldCharType="separate"/>
            </w:r>
            <w:r>
              <w:rPr>
                <w:webHidden/>
              </w:rPr>
              <w:t>42</w:t>
            </w:r>
            <w:r>
              <w:rPr>
                <w:webHidden/>
              </w:rPr>
              <w:fldChar w:fldCharType="end"/>
            </w:r>
          </w:hyperlink>
        </w:p>
        <w:p w:rsidR="008E36A9" w:rsidRDefault="008E36A9">
          <w:pPr>
            <w:pStyle w:val="TOC1"/>
            <w:rPr>
              <w:rFonts w:asciiTheme="minorHAnsi" w:eastAsiaTheme="minorEastAsia" w:hAnsiTheme="minorHAnsi" w:cstheme="minorBidi"/>
              <w:sz w:val="22"/>
              <w:szCs w:val="22"/>
            </w:rPr>
          </w:pPr>
          <w:hyperlink w:anchor="_Toc352323645" w:history="1">
            <w:r w:rsidRPr="005656B7">
              <w:rPr>
                <w:rStyle w:val="Hyperlink"/>
              </w:rPr>
              <w:t>6</w:t>
            </w:r>
            <w:r>
              <w:rPr>
                <w:rFonts w:asciiTheme="minorHAnsi" w:eastAsiaTheme="minorEastAsia" w:hAnsiTheme="minorHAnsi" w:cstheme="minorBidi"/>
                <w:sz w:val="22"/>
                <w:szCs w:val="22"/>
              </w:rPr>
              <w:tab/>
            </w:r>
            <w:r w:rsidRPr="005656B7">
              <w:rPr>
                <w:rStyle w:val="Hyperlink"/>
              </w:rPr>
              <w:t>SDG&amp;E Ex Post Load Impacts</w:t>
            </w:r>
            <w:r>
              <w:rPr>
                <w:webHidden/>
              </w:rPr>
              <w:tab/>
            </w:r>
            <w:r>
              <w:rPr>
                <w:webHidden/>
              </w:rPr>
              <w:fldChar w:fldCharType="begin"/>
            </w:r>
            <w:r>
              <w:rPr>
                <w:webHidden/>
              </w:rPr>
              <w:instrText xml:space="preserve"> PAGEREF _Toc352323645 \h </w:instrText>
            </w:r>
            <w:r>
              <w:rPr>
                <w:webHidden/>
              </w:rPr>
            </w:r>
            <w:r>
              <w:rPr>
                <w:webHidden/>
              </w:rPr>
              <w:fldChar w:fldCharType="separate"/>
            </w:r>
            <w:r>
              <w:rPr>
                <w:webHidden/>
              </w:rPr>
              <w:t>44</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46" w:history="1">
            <w:r w:rsidRPr="005656B7">
              <w:rPr>
                <w:rStyle w:val="Hyperlink"/>
              </w:rPr>
              <w:t>6.1</w:t>
            </w:r>
            <w:r>
              <w:rPr>
                <w:rFonts w:asciiTheme="minorHAnsi" w:eastAsiaTheme="minorEastAsia" w:hAnsiTheme="minorHAnsi" w:cstheme="minorBidi"/>
                <w:sz w:val="22"/>
                <w:szCs w:val="22"/>
              </w:rPr>
              <w:tab/>
            </w:r>
            <w:r w:rsidRPr="005656B7">
              <w:rPr>
                <w:rStyle w:val="Hyperlink"/>
              </w:rPr>
              <w:t>Average Event Day Impacts</w:t>
            </w:r>
            <w:r>
              <w:rPr>
                <w:webHidden/>
              </w:rPr>
              <w:tab/>
            </w:r>
            <w:r>
              <w:rPr>
                <w:webHidden/>
              </w:rPr>
              <w:fldChar w:fldCharType="begin"/>
            </w:r>
            <w:r>
              <w:rPr>
                <w:webHidden/>
              </w:rPr>
              <w:instrText xml:space="preserve"> PAGEREF _Toc352323646 \h </w:instrText>
            </w:r>
            <w:r>
              <w:rPr>
                <w:webHidden/>
              </w:rPr>
            </w:r>
            <w:r>
              <w:rPr>
                <w:webHidden/>
              </w:rPr>
              <w:fldChar w:fldCharType="separate"/>
            </w:r>
            <w:r>
              <w:rPr>
                <w:webHidden/>
              </w:rPr>
              <w:t>45</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47" w:history="1">
            <w:r w:rsidRPr="005656B7">
              <w:rPr>
                <w:rStyle w:val="Hyperlink"/>
              </w:rPr>
              <w:t>6.2</w:t>
            </w:r>
            <w:r>
              <w:rPr>
                <w:rFonts w:asciiTheme="minorHAnsi" w:eastAsiaTheme="minorEastAsia" w:hAnsiTheme="minorHAnsi" w:cstheme="minorBidi"/>
                <w:sz w:val="22"/>
                <w:szCs w:val="22"/>
              </w:rPr>
              <w:tab/>
            </w:r>
            <w:r w:rsidRPr="005656B7">
              <w:rPr>
                <w:rStyle w:val="Hyperlink"/>
              </w:rPr>
              <w:t>Load Impacts by Industry</w:t>
            </w:r>
            <w:r>
              <w:rPr>
                <w:webHidden/>
              </w:rPr>
              <w:tab/>
            </w:r>
            <w:r>
              <w:rPr>
                <w:webHidden/>
              </w:rPr>
              <w:fldChar w:fldCharType="begin"/>
            </w:r>
            <w:r>
              <w:rPr>
                <w:webHidden/>
              </w:rPr>
              <w:instrText xml:space="preserve"> PAGEREF _Toc352323647 \h </w:instrText>
            </w:r>
            <w:r>
              <w:rPr>
                <w:webHidden/>
              </w:rPr>
            </w:r>
            <w:r>
              <w:rPr>
                <w:webHidden/>
              </w:rPr>
              <w:fldChar w:fldCharType="separate"/>
            </w:r>
            <w:r>
              <w:rPr>
                <w:webHidden/>
              </w:rPr>
              <w:t>48</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48" w:history="1">
            <w:r w:rsidRPr="005656B7">
              <w:rPr>
                <w:rStyle w:val="Hyperlink"/>
              </w:rPr>
              <w:t>6.3</w:t>
            </w:r>
            <w:r>
              <w:rPr>
                <w:rFonts w:asciiTheme="minorHAnsi" w:eastAsiaTheme="minorEastAsia" w:hAnsiTheme="minorHAnsi" w:cstheme="minorBidi"/>
                <w:sz w:val="22"/>
                <w:szCs w:val="22"/>
              </w:rPr>
              <w:tab/>
            </w:r>
            <w:r w:rsidRPr="005656B7">
              <w:rPr>
                <w:rStyle w:val="Hyperlink"/>
              </w:rPr>
              <w:t>Load Impacts by Customer Size</w:t>
            </w:r>
            <w:r>
              <w:rPr>
                <w:webHidden/>
              </w:rPr>
              <w:tab/>
            </w:r>
            <w:r>
              <w:rPr>
                <w:webHidden/>
              </w:rPr>
              <w:fldChar w:fldCharType="begin"/>
            </w:r>
            <w:r>
              <w:rPr>
                <w:webHidden/>
              </w:rPr>
              <w:instrText xml:space="preserve"> PAGEREF _Toc352323648 \h </w:instrText>
            </w:r>
            <w:r>
              <w:rPr>
                <w:webHidden/>
              </w:rPr>
            </w:r>
            <w:r>
              <w:rPr>
                <w:webHidden/>
              </w:rPr>
              <w:fldChar w:fldCharType="separate"/>
            </w:r>
            <w:r>
              <w:rPr>
                <w:webHidden/>
              </w:rPr>
              <w:t>49</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49" w:history="1">
            <w:r w:rsidRPr="005656B7">
              <w:rPr>
                <w:rStyle w:val="Hyperlink"/>
              </w:rPr>
              <w:t>6.4</w:t>
            </w:r>
            <w:r>
              <w:rPr>
                <w:rFonts w:asciiTheme="minorHAnsi" w:eastAsiaTheme="minorEastAsia" w:hAnsiTheme="minorHAnsi" w:cstheme="minorBidi"/>
                <w:sz w:val="22"/>
                <w:szCs w:val="22"/>
              </w:rPr>
              <w:tab/>
            </w:r>
            <w:r w:rsidRPr="005656B7">
              <w:rPr>
                <w:rStyle w:val="Hyperlink"/>
              </w:rPr>
              <w:t>Load Impacts for Multi-DR Program Participants</w:t>
            </w:r>
            <w:r>
              <w:rPr>
                <w:webHidden/>
              </w:rPr>
              <w:tab/>
            </w:r>
            <w:r>
              <w:rPr>
                <w:webHidden/>
              </w:rPr>
              <w:fldChar w:fldCharType="begin"/>
            </w:r>
            <w:r>
              <w:rPr>
                <w:webHidden/>
              </w:rPr>
              <w:instrText xml:space="preserve"> PAGEREF _Toc352323649 \h </w:instrText>
            </w:r>
            <w:r>
              <w:rPr>
                <w:webHidden/>
              </w:rPr>
            </w:r>
            <w:r>
              <w:rPr>
                <w:webHidden/>
              </w:rPr>
              <w:fldChar w:fldCharType="separate"/>
            </w:r>
            <w:r>
              <w:rPr>
                <w:webHidden/>
              </w:rPr>
              <w:t>50</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50" w:history="1">
            <w:r w:rsidRPr="005656B7">
              <w:rPr>
                <w:rStyle w:val="Hyperlink"/>
              </w:rPr>
              <w:t>6.5</w:t>
            </w:r>
            <w:r>
              <w:rPr>
                <w:rFonts w:asciiTheme="minorHAnsi" w:eastAsiaTheme="minorEastAsia" w:hAnsiTheme="minorHAnsi" w:cstheme="minorBidi"/>
                <w:sz w:val="22"/>
                <w:szCs w:val="22"/>
              </w:rPr>
              <w:tab/>
            </w:r>
            <w:r w:rsidRPr="005656B7">
              <w:rPr>
                <w:rStyle w:val="Hyperlink"/>
              </w:rPr>
              <w:t>TI and AutoDR Load Impacts and Realization Rates</w:t>
            </w:r>
            <w:r>
              <w:rPr>
                <w:webHidden/>
              </w:rPr>
              <w:tab/>
            </w:r>
            <w:r>
              <w:rPr>
                <w:webHidden/>
              </w:rPr>
              <w:fldChar w:fldCharType="begin"/>
            </w:r>
            <w:r>
              <w:rPr>
                <w:webHidden/>
              </w:rPr>
              <w:instrText xml:space="preserve"> PAGEREF _Toc352323650 \h </w:instrText>
            </w:r>
            <w:r>
              <w:rPr>
                <w:webHidden/>
              </w:rPr>
            </w:r>
            <w:r>
              <w:rPr>
                <w:webHidden/>
              </w:rPr>
              <w:fldChar w:fldCharType="separate"/>
            </w:r>
            <w:r>
              <w:rPr>
                <w:webHidden/>
              </w:rPr>
              <w:t>51</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51" w:history="1">
            <w:r w:rsidRPr="005656B7">
              <w:rPr>
                <w:rStyle w:val="Hyperlink"/>
              </w:rPr>
              <w:t>6.6</w:t>
            </w:r>
            <w:r>
              <w:rPr>
                <w:rFonts w:asciiTheme="minorHAnsi" w:eastAsiaTheme="minorEastAsia" w:hAnsiTheme="minorHAnsi" w:cstheme="minorBidi"/>
                <w:sz w:val="22"/>
                <w:szCs w:val="22"/>
              </w:rPr>
              <w:tab/>
            </w:r>
            <w:r w:rsidRPr="005656B7">
              <w:rPr>
                <w:rStyle w:val="Hyperlink"/>
              </w:rPr>
              <w:t>Critical Peak Pricing – Emergency</w:t>
            </w:r>
            <w:r>
              <w:rPr>
                <w:webHidden/>
              </w:rPr>
              <w:tab/>
            </w:r>
            <w:r>
              <w:rPr>
                <w:webHidden/>
              </w:rPr>
              <w:fldChar w:fldCharType="begin"/>
            </w:r>
            <w:r>
              <w:rPr>
                <w:webHidden/>
              </w:rPr>
              <w:instrText xml:space="preserve"> PAGEREF _Toc352323651 \h </w:instrText>
            </w:r>
            <w:r>
              <w:rPr>
                <w:webHidden/>
              </w:rPr>
            </w:r>
            <w:r>
              <w:rPr>
                <w:webHidden/>
              </w:rPr>
              <w:fldChar w:fldCharType="separate"/>
            </w:r>
            <w:r>
              <w:rPr>
                <w:webHidden/>
              </w:rPr>
              <w:t>51</w:t>
            </w:r>
            <w:r>
              <w:rPr>
                <w:webHidden/>
              </w:rPr>
              <w:fldChar w:fldCharType="end"/>
            </w:r>
          </w:hyperlink>
        </w:p>
        <w:p w:rsidR="008E36A9" w:rsidRDefault="008E36A9">
          <w:pPr>
            <w:pStyle w:val="TOC1"/>
            <w:rPr>
              <w:rFonts w:asciiTheme="minorHAnsi" w:eastAsiaTheme="minorEastAsia" w:hAnsiTheme="minorHAnsi" w:cstheme="minorBidi"/>
              <w:sz w:val="22"/>
              <w:szCs w:val="22"/>
            </w:rPr>
          </w:pPr>
          <w:hyperlink w:anchor="_Toc352323652" w:history="1">
            <w:r w:rsidRPr="005656B7">
              <w:rPr>
                <w:rStyle w:val="Hyperlink"/>
              </w:rPr>
              <w:t>7</w:t>
            </w:r>
            <w:r>
              <w:rPr>
                <w:rFonts w:asciiTheme="minorHAnsi" w:eastAsiaTheme="minorEastAsia" w:hAnsiTheme="minorHAnsi" w:cstheme="minorBidi"/>
                <w:sz w:val="22"/>
                <w:szCs w:val="22"/>
              </w:rPr>
              <w:tab/>
            </w:r>
            <w:r w:rsidRPr="005656B7">
              <w:rPr>
                <w:rStyle w:val="Hyperlink"/>
              </w:rPr>
              <w:t>PG&amp;E Ex Ante Load Impacts</w:t>
            </w:r>
            <w:r>
              <w:rPr>
                <w:webHidden/>
              </w:rPr>
              <w:tab/>
            </w:r>
            <w:r>
              <w:rPr>
                <w:webHidden/>
              </w:rPr>
              <w:fldChar w:fldCharType="begin"/>
            </w:r>
            <w:r>
              <w:rPr>
                <w:webHidden/>
              </w:rPr>
              <w:instrText xml:space="preserve"> PAGEREF _Toc352323652 \h </w:instrText>
            </w:r>
            <w:r>
              <w:rPr>
                <w:webHidden/>
              </w:rPr>
            </w:r>
            <w:r>
              <w:rPr>
                <w:webHidden/>
              </w:rPr>
              <w:fldChar w:fldCharType="separate"/>
            </w:r>
            <w:r>
              <w:rPr>
                <w:webHidden/>
              </w:rPr>
              <w:t>52</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53" w:history="1">
            <w:r w:rsidRPr="005656B7">
              <w:rPr>
                <w:rStyle w:val="Hyperlink"/>
              </w:rPr>
              <w:t>7.1</w:t>
            </w:r>
            <w:r>
              <w:rPr>
                <w:rFonts w:asciiTheme="minorHAnsi" w:eastAsiaTheme="minorEastAsia" w:hAnsiTheme="minorHAnsi" w:cstheme="minorBidi"/>
                <w:sz w:val="22"/>
                <w:szCs w:val="22"/>
              </w:rPr>
              <w:tab/>
            </w:r>
            <w:r w:rsidRPr="005656B7">
              <w:rPr>
                <w:rStyle w:val="Hyperlink"/>
              </w:rPr>
              <w:t>Large C&amp;I Ex Ante Impacts</w:t>
            </w:r>
            <w:r>
              <w:rPr>
                <w:webHidden/>
              </w:rPr>
              <w:tab/>
            </w:r>
            <w:r>
              <w:rPr>
                <w:webHidden/>
              </w:rPr>
              <w:fldChar w:fldCharType="begin"/>
            </w:r>
            <w:r>
              <w:rPr>
                <w:webHidden/>
              </w:rPr>
              <w:instrText xml:space="preserve"> PAGEREF _Toc352323653 \h </w:instrText>
            </w:r>
            <w:r>
              <w:rPr>
                <w:webHidden/>
              </w:rPr>
            </w:r>
            <w:r>
              <w:rPr>
                <w:webHidden/>
              </w:rPr>
              <w:fldChar w:fldCharType="separate"/>
            </w:r>
            <w:r>
              <w:rPr>
                <w:webHidden/>
              </w:rPr>
              <w:t>52</w:t>
            </w:r>
            <w:r>
              <w:rPr>
                <w:webHidden/>
              </w:rPr>
              <w:fldChar w:fldCharType="end"/>
            </w:r>
          </w:hyperlink>
        </w:p>
        <w:p w:rsidR="008E36A9" w:rsidRDefault="008E36A9">
          <w:pPr>
            <w:pStyle w:val="TOC3"/>
            <w:rPr>
              <w:rFonts w:asciiTheme="minorHAnsi" w:hAnsiTheme="minorHAnsi" w:cstheme="minorBidi"/>
              <w:sz w:val="22"/>
              <w:szCs w:val="22"/>
            </w:rPr>
          </w:pPr>
          <w:hyperlink w:anchor="_Toc352323654" w:history="1">
            <w:r w:rsidRPr="005656B7">
              <w:rPr>
                <w:rStyle w:val="Hyperlink"/>
                <w:rFonts w:cs="Calibri"/>
              </w:rPr>
              <w:t>7.1.1</w:t>
            </w:r>
            <w:r>
              <w:rPr>
                <w:rFonts w:asciiTheme="minorHAnsi" w:hAnsiTheme="minorHAnsi" w:cstheme="minorBidi"/>
                <w:sz w:val="22"/>
                <w:szCs w:val="22"/>
              </w:rPr>
              <w:tab/>
            </w:r>
            <w:r w:rsidRPr="005656B7">
              <w:rPr>
                <w:rStyle w:val="Hyperlink"/>
              </w:rPr>
              <w:t>Annual System Peak Day Impacts</w:t>
            </w:r>
            <w:r>
              <w:rPr>
                <w:webHidden/>
              </w:rPr>
              <w:tab/>
            </w:r>
            <w:r>
              <w:rPr>
                <w:webHidden/>
              </w:rPr>
              <w:fldChar w:fldCharType="begin"/>
            </w:r>
            <w:r>
              <w:rPr>
                <w:webHidden/>
              </w:rPr>
              <w:instrText xml:space="preserve"> PAGEREF _Toc352323654 \h </w:instrText>
            </w:r>
            <w:r>
              <w:rPr>
                <w:webHidden/>
              </w:rPr>
            </w:r>
            <w:r>
              <w:rPr>
                <w:webHidden/>
              </w:rPr>
              <w:fldChar w:fldCharType="separate"/>
            </w:r>
            <w:r>
              <w:rPr>
                <w:webHidden/>
              </w:rPr>
              <w:t>53</w:t>
            </w:r>
            <w:r>
              <w:rPr>
                <w:webHidden/>
              </w:rPr>
              <w:fldChar w:fldCharType="end"/>
            </w:r>
          </w:hyperlink>
        </w:p>
        <w:p w:rsidR="008E36A9" w:rsidRDefault="008E36A9">
          <w:pPr>
            <w:pStyle w:val="TOC3"/>
            <w:rPr>
              <w:rFonts w:asciiTheme="minorHAnsi" w:hAnsiTheme="minorHAnsi" w:cstheme="minorBidi"/>
              <w:sz w:val="22"/>
              <w:szCs w:val="22"/>
            </w:rPr>
          </w:pPr>
          <w:hyperlink w:anchor="_Toc352323655" w:history="1">
            <w:r w:rsidRPr="005656B7">
              <w:rPr>
                <w:rStyle w:val="Hyperlink"/>
              </w:rPr>
              <w:t>7.1.2</w:t>
            </w:r>
            <w:r>
              <w:rPr>
                <w:rFonts w:asciiTheme="minorHAnsi" w:hAnsiTheme="minorHAnsi" w:cstheme="minorBidi"/>
                <w:sz w:val="22"/>
                <w:szCs w:val="22"/>
              </w:rPr>
              <w:tab/>
            </w:r>
            <w:r w:rsidRPr="005656B7">
              <w:rPr>
                <w:rStyle w:val="Hyperlink"/>
              </w:rPr>
              <w:t>Ex Ante Load Impact Uncertainty</w:t>
            </w:r>
            <w:r>
              <w:rPr>
                <w:webHidden/>
              </w:rPr>
              <w:tab/>
            </w:r>
            <w:r>
              <w:rPr>
                <w:webHidden/>
              </w:rPr>
              <w:fldChar w:fldCharType="begin"/>
            </w:r>
            <w:r>
              <w:rPr>
                <w:webHidden/>
              </w:rPr>
              <w:instrText xml:space="preserve"> PAGEREF _Toc352323655 \h </w:instrText>
            </w:r>
            <w:r>
              <w:rPr>
                <w:webHidden/>
              </w:rPr>
            </w:r>
            <w:r>
              <w:rPr>
                <w:webHidden/>
              </w:rPr>
              <w:fldChar w:fldCharType="separate"/>
            </w:r>
            <w:r>
              <w:rPr>
                <w:webHidden/>
              </w:rPr>
              <w:t>56</w:t>
            </w:r>
            <w:r>
              <w:rPr>
                <w:webHidden/>
              </w:rPr>
              <w:fldChar w:fldCharType="end"/>
            </w:r>
          </w:hyperlink>
        </w:p>
        <w:p w:rsidR="008E36A9" w:rsidRDefault="008E36A9">
          <w:pPr>
            <w:pStyle w:val="TOC3"/>
            <w:rPr>
              <w:rFonts w:asciiTheme="minorHAnsi" w:hAnsiTheme="minorHAnsi" w:cstheme="minorBidi"/>
              <w:sz w:val="22"/>
              <w:szCs w:val="22"/>
            </w:rPr>
          </w:pPr>
          <w:hyperlink w:anchor="_Toc352323656" w:history="1">
            <w:r w:rsidRPr="005656B7">
              <w:rPr>
                <w:rStyle w:val="Hyperlink"/>
                <w:rFonts w:cs="Calibri"/>
              </w:rPr>
              <w:t>7.1.3</w:t>
            </w:r>
            <w:r>
              <w:rPr>
                <w:rFonts w:asciiTheme="minorHAnsi" w:hAnsiTheme="minorHAnsi" w:cstheme="minorBidi"/>
                <w:sz w:val="22"/>
                <w:szCs w:val="22"/>
              </w:rPr>
              <w:tab/>
            </w:r>
            <w:r w:rsidRPr="005656B7">
              <w:rPr>
                <w:rStyle w:val="Hyperlink"/>
              </w:rPr>
              <w:t>Ex Ante Impacts by Geographic Location</w:t>
            </w:r>
            <w:r>
              <w:rPr>
                <w:webHidden/>
              </w:rPr>
              <w:tab/>
            </w:r>
            <w:r>
              <w:rPr>
                <w:webHidden/>
              </w:rPr>
              <w:fldChar w:fldCharType="begin"/>
            </w:r>
            <w:r>
              <w:rPr>
                <w:webHidden/>
              </w:rPr>
              <w:instrText xml:space="preserve"> PAGEREF _Toc352323656 \h </w:instrText>
            </w:r>
            <w:r>
              <w:rPr>
                <w:webHidden/>
              </w:rPr>
            </w:r>
            <w:r>
              <w:rPr>
                <w:webHidden/>
              </w:rPr>
              <w:fldChar w:fldCharType="separate"/>
            </w:r>
            <w:r>
              <w:rPr>
                <w:webHidden/>
              </w:rPr>
              <w:t>58</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57" w:history="1">
            <w:r w:rsidRPr="005656B7">
              <w:rPr>
                <w:rStyle w:val="Hyperlink"/>
              </w:rPr>
              <w:t>7.2</w:t>
            </w:r>
            <w:r>
              <w:rPr>
                <w:rFonts w:asciiTheme="minorHAnsi" w:eastAsiaTheme="minorEastAsia" w:hAnsiTheme="minorHAnsi" w:cstheme="minorBidi"/>
                <w:sz w:val="22"/>
                <w:szCs w:val="22"/>
              </w:rPr>
              <w:tab/>
            </w:r>
            <w:r w:rsidRPr="005656B7">
              <w:rPr>
                <w:rStyle w:val="Hyperlink"/>
              </w:rPr>
              <w:t>Medium C&amp;I Ex Ante Impacts</w:t>
            </w:r>
            <w:r>
              <w:rPr>
                <w:webHidden/>
              </w:rPr>
              <w:tab/>
            </w:r>
            <w:r>
              <w:rPr>
                <w:webHidden/>
              </w:rPr>
              <w:fldChar w:fldCharType="begin"/>
            </w:r>
            <w:r>
              <w:rPr>
                <w:webHidden/>
              </w:rPr>
              <w:instrText xml:space="preserve"> PAGEREF _Toc352323657 \h </w:instrText>
            </w:r>
            <w:r>
              <w:rPr>
                <w:webHidden/>
              </w:rPr>
            </w:r>
            <w:r>
              <w:rPr>
                <w:webHidden/>
              </w:rPr>
              <w:fldChar w:fldCharType="separate"/>
            </w:r>
            <w:r>
              <w:rPr>
                <w:webHidden/>
              </w:rPr>
              <w:t>59</w:t>
            </w:r>
            <w:r>
              <w:rPr>
                <w:webHidden/>
              </w:rPr>
              <w:fldChar w:fldCharType="end"/>
            </w:r>
          </w:hyperlink>
        </w:p>
        <w:p w:rsidR="008E36A9" w:rsidRDefault="008E36A9">
          <w:pPr>
            <w:pStyle w:val="TOC3"/>
            <w:rPr>
              <w:rFonts w:asciiTheme="minorHAnsi" w:hAnsiTheme="minorHAnsi" w:cstheme="minorBidi"/>
              <w:sz w:val="22"/>
              <w:szCs w:val="22"/>
            </w:rPr>
          </w:pPr>
          <w:hyperlink w:anchor="_Toc352323658" w:history="1">
            <w:r w:rsidRPr="005656B7">
              <w:rPr>
                <w:rStyle w:val="Hyperlink"/>
                <w:rFonts w:cs="Calibri"/>
              </w:rPr>
              <w:t>7.2.1</w:t>
            </w:r>
            <w:r>
              <w:rPr>
                <w:rFonts w:asciiTheme="minorHAnsi" w:hAnsiTheme="minorHAnsi" w:cstheme="minorBidi"/>
                <w:sz w:val="22"/>
                <w:szCs w:val="22"/>
              </w:rPr>
              <w:tab/>
            </w:r>
            <w:r w:rsidRPr="005656B7">
              <w:rPr>
                <w:rStyle w:val="Hyperlink"/>
              </w:rPr>
              <w:t>Annual System Peak Day Impacts</w:t>
            </w:r>
            <w:r>
              <w:rPr>
                <w:webHidden/>
              </w:rPr>
              <w:tab/>
            </w:r>
            <w:r>
              <w:rPr>
                <w:webHidden/>
              </w:rPr>
              <w:fldChar w:fldCharType="begin"/>
            </w:r>
            <w:r>
              <w:rPr>
                <w:webHidden/>
              </w:rPr>
              <w:instrText xml:space="preserve"> PAGEREF _Toc352323658 \h </w:instrText>
            </w:r>
            <w:r>
              <w:rPr>
                <w:webHidden/>
              </w:rPr>
            </w:r>
            <w:r>
              <w:rPr>
                <w:webHidden/>
              </w:rPr>
              <w:fldChar w:fldCharType="separate"/>
            </w:r>
            <w:r>
              <w:rPr>
                <w:webHidden/>
              </w:rPr>
              <w:t>60</w:t>
            </w:r>
            <w:r>
              <w:rPr>
                <w:webHidden/>
              </w:rPr>
              <w:fldChar w:fldCharType="end"/>
            </w:r>
          </w:hyperlink>
        </w:p>
        <w:p w:rsidR="008E36A9" w:rsidRDefault="008E36A9">
          <w:pPr>
            <w:pStyle w:val="TOC3"/>
            <w:rPr>
              <w:rFonts w:asciiTheme="minorHAnsi" w:hAnsiTheme="minorHAnsi" w:cstheme="minorBidi"/>
              <w:sz w:val="22"/>
              <w:szCs w:val="22"/>
            </w:rPr>
          </w:pPr>
          <w:hyperlink w:anchor="_Toc352323659" w:history="1">
            <w:r w:rsidRPr="005656B7">
              <w:rPr>
                <w:rStyle w:val="Hyperlink"/>
              </w:rPr>
              <w:t>7.2.2</w:t>
            </w:r>
            <w:r>
              <w:rPr>
                <w:rFonts w:asciiTheme="minorHAnsi" w:hAnsiTheme="minorHAnsi" w:cstheme="minorBidi"/>
                <w:sz w:val="22"/>
                <w:szCs w:val="22"/>
              </w:rPr>
              <w:tab/>
            </w:r>
            <w:r w:rsidRPr="005656B7">
              <w:rPr>
                <w:rStyle w:val="Hyperlink"/>
              </w:rPr>
              <w:t>Ex Ante Load Impact Uncertainty</w:t>
            </w:r>
            <w:r>
              <w:rPr>
                <w:webHidden/>
              </w:rPr>
              <w:tab/>
            </w:r>
            <w:r>
              <w:rPr>
                <w:webHidden/>
              </w:rPr>
              <w:fldChar w:fldCharType="begin"/>
            </w:r>
            <w:r>
              <w:rPr>
                <w:webHidden/>
              </w:rPr>
              <w:instrText xml:space="preserve"> PAGEREF _Toc352323659 \h </w:instrText>
            </w:r>
            <w:r>
              <w:rPr>
                <w:webHidden/>
              </w:rPr>
            </w:r>
            <w:r>
              <w:rPr>
                <w:webHidden/>
              </w:rPr>
              <w:fldChar w:fldCharType="separate"/>
            </w:r>
            <w:r>
              <w:rPr>
                <w:webHidden/>
              </w:rPr>
              <w:t>61</w:t>
            </w:r>
            <w:r>
              <w:rPr>
                <w:webHidden/>
              </w:rPr>
              <w:fldChar w:fldCharType="end"/>
            </w:r>
          </w:hyperlink>
        </w:p>
        <w:p w:rsidR="008E36A9" w:rsidRDefault="008E36A9">
          <w:pPr>
            <w:pStyle w:val="TOC3"/>
            <w:rPr>
              <w:rFonts w:asciiTheme="minorHAnsi" w:hAnsiTheme="minorHAnsi" w:cstheme="minorBidi"/>
              <w:sz w:val="22"/>
              <w:szCs w:val="22"/>
            </w:rPr>
          </w:pPr>
          <w:hyperlink w:anchor="_Toc352323660" w:history="1">
            <w:r w:rsidRPr="005656B7">
              <w:rPr>
                <w:rStyle w:val="Hyperlink"/>
              </w:rPr>
              <w:t>7.2.3</w:t>
            </w:r>
            <w:r>
              <w:rPr>
                <w:rFonts w:asciiTheme="minorHAnsi" w:hAnsiTheme="minorHAnsi" w:cstheme="minorBidi"/>
                <w:sz w:val="22"/>
                <w:szCs w:val="22"/>
              </w:rPr>
              <w:tab/>
            </w:r>
            <w:r w:rsidRPr="005656B7">
              <w:rPr>
                <w:rStyle w:val="Hyperlink"/>
              </w:rPr>
              <w:t>Ex Ante Impacts by Geographic Location</w:t>
            </w:r>
            <w:r>
              <w:rPr>
                <w:webHidden/>
              </w:rPr>
              <w:tab/>
            </w:r>
            <w:r>
              <w:rPr>
                <w:webHidden/>
              </w:rPr>
              <w:fldChar w:fldCharType="begin"/>
            </w:r>
            <w:r>
              <w:rPr>
                <w:webHidden/>
              </w:rPr>
              <w:instrText xml:space="preserve"> PAGEREF _Toc352323660 \h </w:instrText>
            </w:r>
            <w:r>
              <w:rPr>
                <w:webHidden/>
              </w:rPr>
            </w:r>
            <w:r>
              <w:rPr>
                <w:webHidden/>
              </w:rPr>
              <w:fldChar w:fldCharType="separate"/>
            </w:r>
            <w:r>
              <w:rPr>
                <w:webHidden/>
              </w:rPr>
              <w:t>62</w:t>
            </w:r>
            <w:r>
              <w:rPr>
                <w:webHidden/>
              </w:rPr>
              <w:fldChar w:fldCharType="end"/>
            </w:r>
          </w:hyperlink>
        </w:p>
        <w:p w:rsidR="008E36A9" w:rsidRDefault="008E36A9">
          <w:pPr>
            <w:pStyle w:val="TOC1"/>
            <w:rPr>
              <w:rFonts w:asciiTheme="minorHAnsi" w:eastAsiaTheme="minorEastAsia" w:hAnsiTheme="minorHAnsi" w:cstheme="minorBidi"/>
              <w:sz w:val="22"/>
              <w:szCs w:val="22"/>
            </w:rPr>
          </w:pPr>
          <w:hyperlink w:anchor="_Toc352323661" w:history="1">
            <w:r w:rsidRPr="005656B7">
              <w:rPr>
                <w:rStyle w:val="Hyperlink"/>
              </w:rPr>
              <w:t>8</w:t>
            </w:r>
            <w:r>
              <w:rPr>
                <w:rFonts w:asciiTheme="minorHAnsi" w:eastAsiaTheme="minorEastAsia" w:hAnsiTheme="minorHAnsi" w:cstheme="minorBidi"/>
                <w:sz w:val="22"/>
                <w:szCs w:val="22"/>
              </w:rPr>
              <w:tab/>
            </w:r>
            <w:r w:rsidRPr="005656B7">
              <w:rPr>
                <w:rStyle w:val="Hyperlink"/>
              </w:rPr>
              <w:t>SCE Ex Ante Load Impacts</w:t>
            </w:r>
            <w:r>
              <w:rPr>
                <w:webHidden/>
              </w:rPr>
              <w:tab/>
            </w:r>
            <w:r>
              <w:rPr>
                <w:webHidden/>
              </w:rPr>
              <w:fldChar w:fldCharType="begin"/>
            </w:r>
            <w:r>
              <w:rPr>
                <w:webHidden/>
              </w:rPr>
              <w:instrText xml:space="preserve"> PAGEREF _Toc352323661 \h </w:instrText>
            </w:r>
            <w:r>
              <w:rPr>
                <w:webHidden/>
              </w:rPr>
            </w:r>
            <w:r>
              <w:rPr>
                <w:webHidden/>
              </w:rPr>
              <w:fldChar w:fldCharType="separate"/>
            </w:r>
            <w:r>
              <w:rPr>
                <w:webHidden/>
              </w:rPr>
              <w:t>64</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62" w:history="1">
            <w:r w:rsidRPr="005656B7">
              <w:rPr>
                <w:rStyle w:val="Hyperlink"/>
                <w:rFonts w:cs="Calibri"/>
              </w:rPr>
              <w:t>8.1</w:t>
            </w:r>
            <w:r>
              <w:rPr>
                <w:rFonts w:asciiTheme="minorHAnsi" w:eastAsiaTheme="minorEastAsia" w:hAnsiTheme="minorHAnsi" w:cstheme="minorBidi"/>
                <w:sz w:val="22"/>
                <w:szCs w:val="22"/>
              </w:rPr>
              <w:tab/>
            </w:r>
            <w:r w:rsidRPr="005656B7">
              <w:rPr>
                <w:rStyle w:val="Hyperlink"/>
              </w:rPr>
              <w:t>Annual System Peak Day Impacts</w:t>
            </w:r>
            <w:r>
              <w:rPr>
                <w:webHidden/>
              </w:rPr>
              <w:tab/>
            </w:r>
            <w:r>
              <w:rPr>
                <w:webHidden/>
              </w:rPr>
              <w:fldChar w:fldCharType="begin"/>
            </w:r>
            <w:r>
              <w:rPr>
                <w:webHidden/>
              </w:rPr>
              <w:instrText xml:space="preserve"> PAGEREF _Toc352323662 \h </w:instrText>
            </w:r>
            <w:r>
              <w:rPr>
                <w:webHidden/>
              </w:rPr>
            </w:r>
            <w:r>
              <w:rPr>
                <w:webHidden/>
              </w:rPr>
              <w:fldChar w:fldCharType="separate"/>
            </w:r>
            <w:r>
              <w:rPr>
                <w:webHidden/>
              </w:rPr>
              <w:t>65</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63" w:history="1">
            <w:r w:rsidRPr="005656B7">
              <w:rPr>
                <w:rStyle w:val="Hyperlink"/>
              </w:rPr>
              <w:t>8.2</w:t>
            </w:r>
            <w:r>
              <w:rPr>
                <w:rFonts w:asciiTheme="minorHAnsi" w:eastAsiaTheme="minorEastAsia" w:hAnsiTheme="minorHAnsi" w:cstheme="minorBidi"/>
                <w:sz w:val="22"/>
                <w:szCs w:val="22"/>
              </w:rPr>
              <w:tab/>
            </w:r>
            <w:r w:rsidRPr="005656B7">
              <w:rPr>
                <w:rStyle w:val="Hyperlink"/>
              </w:rPr>
              <w:t>Ex Ante Load Impact Uncertainty</w:t>
            </w:r>
            <w:r>
              <w:rPr>
                <w:webHidden/>
              </w:rPr>
              <w:tab/>
            </w:r>
            <w:r>
              <w:rPr>
                <w:webHidden/>
              </w:rPr>
              <w:fldChar w:fldCharType="begin"/>
            </w:r>
            <w:r>
              <w:rPr>
                <w:webHidden/>
              </w:rPr>
              <w:instrText xml:space="preserve"> PAGEREF _Toc352323663 \h </w:instrText>
            </w:r>
            <w:r>
              <w:rPr>
                <w:webHidden/>
              </w:rPr>
            </w:r>
            <w:r>
              <w:rPr>
                <w:webHidden/>
              </w:rPr>
              <w:fldChar w:fldCharType="separate"/>
            </w:r>
            <w:r>
              <w:rPr>
                <w:webHidden/>
              </w:rPr>
              <w:t>67</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64" w:history="1">
            <w:r w:rsidRPr="005656B7">
              <w:rPr>
                <w:rStyle w:val="Hyperlink"/>
              </w:rPr>
              <w:t>8.3</w:t>
            </w:r>
            <w:r>
              <w:rPr>
                <w:rFonts w:asciiTheme="minorHAnsi" w:eastAsiaTheme="minorEastAsia" w:hAnsiTheme="minorHAnsi" w:cstheme="minorBidi"/>
                <w:sz w:val="22"/>
                <w:szCs w:val="22"/>
              </w:rPr>
              <w:tab/>
            </w:r>
            <w:r w:rsidRPr="005656B7">
              <w:rPr>
                <w:rStyle w:val="Hyperlink"/>
              </w:rPr>
              <w:t>Ex Ante Impacts by Geographic Location</w:t>
            </w:r>
            <w:r>
              <w:rPr>
                <w:webHidden/>
              </w:rPr>
              <w:tab/>
            </w:r>
            <w:r>
              <w:rPr>
                <w:webHidden/>
              </w:rPr>
              <w:fldChar w:fldCharType="begin"/>
            </w:r>
            <w:r>
              <w:rPr>
                <w:webHidden/>
              </w:rPr>
              <w:instrText xml:space="preserve"> PAGEREF _Toc352323664 \h </w:instrText>
            </w:r>
            <w:r>
              <w:rPr>
                <w:webHidden/>
              </w:rPr>
            </w:r>
            <w:r>
              <w:rPr>
                <w:webHidden/>
              </w:rPr>
              <w:fldChar w:fldCharType="separate"/>
            </w:r>
            <w:r>
              <w:rPr>
                <w:webHidden/>
              </w:rPr>
              <w:t>68</w:t>
            </w:r>
            <w:r>
              <w:rPr>
                <w:webHidden/>
              </w:rPr>
              <w:fldChar w:fldCharType="end"/>
            </w:r>
          </w:hyperlink>
        </w:p>
        <w:p w:rsidR="008E36A9" w:rsidRDefault="008E36A9">
          <w:pPr>
            <w:pStyle w:val="TOC1"/>
            <w:rPr>
              <w:rFonts w:asciiTheme="minorHAnsi" w:eastAsiaTheme="minorEastAsia" w:hAnsiTheme="minorHAnsi" w:cstheme="minorBidi"/>
              <w:sz w:val="22"/>
              <w:szCs w:val="22"/>
            </w:rPr>
          </w:pPr>
          <w:hyperlink w:anchor="_Toc352323665" w:history="1">
            <w:r w:rsidRPr="005656B7">
              <w:rPr>
                <w:rStyle w:val="Hyperlink"/>
              </w:rPr>
              <w:t>9</w:t>
            </w:r>
            <w:r>
              <w:rPr>
                <w:rFonts w:asciiTheme="minorHAnsi" w:eastAsiaTheme="minorEastAsia" w:hAnsiTheme="minorHAnsi" w:cstheme="minorBidi"/>
                <w:sz w:val="22"/>
                <w:szCs w:val="22"/>
              </w:rPr>
              <w:tab/>
            </w:r>
            <w:r w:rsidRPr="005656B7">
              <w:rPr>
                <w:rStyle w:val="Hyperlink"/>
              </w:rPr>
              <w:t>SDG&amp;E Ex Ante Load Impacts</w:t>
            </w:r>
            <w:r>
              <w:rPr>
                <w:webHidden/>
              </w:rPr>
              <w:tab/>
            </w:r>
            <w:r>
              <w:rPr>
                <w:webHidden/>
              </w:rPr>
              <w:fldChar w:fldCharType="begin"/>
            </w:r>
            <w:r>
              <w:rPr>
                <w:webHidden/>
              </w:rPr>
              <w:instrText xml:space="preserve"> PAGEREF _Toc352323665 \h </w:instrText>
            </w:r>
            <w:r>
              <w:rPr>
                <w:webHidden/>
              </w:rPr>
            </w:r>
            <w:r>
              <w:rPr>
                <w:webHidden/>
              </w:rPr>
              <w:fldChar w:fldCharType="separate"/>
            </w:r>
            <w:r>
              <w:rPr>
                <w:webHidden/>
              </w:rPr>
              <w:t>71</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66" w:history="1">
            <w:r w:rsidRPr="005656B7">
              <w:rPr>
                <w:rStyle w:val="Hyperlink"/>
              </w:rPr>
              <w:t>9.1</w:t>
            </w:r>
            <w:r>
              <w:rPr>
                <w:rFonts w:asciiTheme="minorHAnsi" w:eastAsiaTheme="minorEastAsia" w:hAnsiTheme="minorHAnsi" w:cstheme="minorBidi"/>
                <w:sz w:val="22"/>
                <w:szCs w:val="22"/>
              </w:rPr>
              <w:tab/>
            </w:r>
            <w:r w:rsidRPr="005656B7">
              <w:rPr>
                <w:rStyle w:val="Hyperlink"/>
              </w:rPr>
              <w:t>Large C&amp;I Ex Ante Impacts</w:t>
            </w:r>
            <w:r>
              <w:rPr>
                <w:webHidden/>
              </w:rPr>
              <w:tab/>
            </w:r>
            <w:r>
              <w:rPr>
                <w:webHidden/>
              </w:rPr>
              <w:fldChar w:fldCharType="begin"/>
            </w:r>
            <w:r>
              <w:rPr>
                <w:webHidden/>
              </w:rPr>
              <w:instrText xml:space="preserve"> PAGEREF _Toc352323666 \h </w:instrText>
            </w:r>
            <w:r>
              <w:rPr>
                <w:webHidden/>
              </w:rPr>
            </w:r>
            <w:r>
              <w:rPr>
                <w:webHidden/>
              </w:rPr>
              <w:fldChar w:fldCharType="separate"/>
            </w:r>
            <w:r>
              <w:rPr>
                <w:webHidden/>
              </w:rPr>
              <w:t>71</w:t>
            </w:r>
            <w:r>
              <w:rPr>
                <w:webHidden/>
              </w:rPr>
              <w:fldChar w:fldCharType="end"/>
            </w:r>
          </w:hyperlink>
        </w:p>
        <w:p w:rsidR="008E36A9" w:rsidRDefault="008E36A9">
          <w:pPr>
            <w:pStyle w:val="TOC2"/>
            <w:rPr>
              <w:rFonts w:asciiTheme="minorHAnsi" w:eastAsiaTheme="minorEastAsia" w:hAnsiTheme="minorHAnsi" w:cstheme="minorBidi"/>
              <w:sz w:val="22"/>
              <w:szCs w:val="22"/>
            </w:rPr>
          </w:pPr>
          <w:hyperlink w:anchor="_Toc352323667" w:history="1">
            <w:r w:rsidRPr="005656B7">
              <w:rPr>
                <w:rStyle w:val="Hyperlink"/>
              </w:rPr>
              <w:t>9.2</w:t>
            </w:r>
            <w:r>
              <w:rPr>
                <w:rFonts w:asciiTheme="minorHAnsi" w:eastAsiaTheme="minorEastAsia" w:hAnsiTheme="minorHAnsi" w:cstheme="minorBidi"/>
                <w:sz w:val="22"/>
                <w:szCs w:val="22"/>
              </w:rPr>
              <w:tab/>
            </w:r>
            <w:r w:rsidRPr="005656B7">
              <w:rPr>
                <w:rStyle w:val="Hyperlink"/>
              </w:rPr>
              <w:t>Medium C&amp;I Ex Ante Impacts</w:t>
            </w:r>
            <w:r>
              <w:rPr>
                <w:webHidden/>
              </w:rPr>
              <w:tab/>
            </w:r>
            <w:r>
              <w:rPr>
                <w:webHidden/>
              </w:rPr>
              <w:fldChar w:fldCharType="begin"/>
            </w:r>
            <w:r>
              <w:rPr>
                <w:webHidden/>
              </w:rPr>
              <w:instrText xml:space="preserve"> PAGEREF _Toc352323667 \h </w:instrText>
            </w:r>
            <w:r>
              <w:rPr>
                <w:webHidden/>
              </w:rPr>
            </w:r>
            <w:r>
              <w:rPr>
                <w:webHidden/>
              </w:rPr>
              <w:fldChar w:fldCharType="separate"/>
            </w:r>
            <w:r>
              <w:rPr>
                <w:webHidden/>
              </w:rPr>
              <w:t>74</w:t>
            </w:r>
            <w:r>
              <w:rPr>
                <w:webHidden/>
              </w:rPr>
              <w:fldChar w:fldCharType="end"/>
            </w:r>
          </w:hyperlink>
        </w:p>
        <w:p w:rsidR="008E36A9" w:rsidRDefault="008E36A9">
          <w:pPr>
            <w:pStyle w:val="TOC1"/>
            <w:rPr>
              <w:rFonts w:asciiTheme="minorHAnsi" w:eastAsiaTheme="minorEastAsia" w:hAnsiTheme="minorHAnsi" w:cstheme="minorBidi"/>
              <w:sz w:val="22"/>
              <w:szCs w:val="22"/>
            </w:rPr>
          </w:pPr>
          <w:hyperlink w:anchor="_Toc352323668" w:history="1">
            <w:r w:rsidRPr="005656B7">
              <w:rPr>
                <w:rStyle w:val="Hyperlink"/>
              </w:rPr>
              <w:t>10</w:t>
            </w:r>
            <w:r>
              <w:rPr>
                <w:rFonts w:asciiTheme="minorHAnsi" w:eastAsiaTheme="minorEastAsia" w:hAnsiTheme="minorHAnsi" w:cstheme="minorBidi"/>
                <w:sz w:val="22"/>
                <w:szCs w:val="22"/>
              </w:rPr>
              <w:tab/>
            </w:r>
            <w:r w:rsidRPr="005656B7">
              <w:rPr>
                <w:rStyle w:val="Hyperlink"/>
              </w:rPr>
              <w:t>Recommendations</w:t>
            </w:r>
            <w:r>
              <w:rPr>
                <w:webHidden/>
              </w:rPr>
              <w:tab/>
            </w:r>
            <w:r>
              <w:rPr>
                <w:webHidden/>
              </w:rPr>
              <w:fldChar w:fldCharType="begin"/>
            </w:r>
            <w:r>
              <w:rPr>
                <w:webHidden/>
              </w:rPr>
              <w:instrText xml:space="preserve"> PAGEREF _Toc352323668 \h </w:instrText>
            </w:r>
            <w:r>
              <w:rPr>
                <w:webHidden/>
              </w:rPr>
            </w:r>
            <w:r>
              <w:rPr>
                <w:webHidden/>
              </w:rPr>
              <w:fldChar w:fldCharType="separate"/>
            </w:r>
            <w:r>
              <w:rPr>
                <w:webHidden/>
              </w:rPr>
              <w:t>79</w:t>
            </w:r>
            <w:r>
              <w:rPr>
                <w:webHidden/>
              </w:rPr>
              <w:fldChar w:fldCharType="end"/>
            </w:r>
          </w:hyperlink>
        </w:p>
        <w:p w:rsidR="008E36A9" w:rsidRDefault="008E36A9">
          <w:pPr>
            <w:pStyle w:val="TOC1"/>
            <w:rPr>
              <w:rFonts w:asciiTheme="minorHAnsi" w:eastAsiaTheme="minorEastAsia" w:hAnsiTheme="minorHAnsi" w:cstheme="minorBidi"/>
              <w:sz w:val="22"/>
              <w:szCs w:val="22"/>
            </w:rPr>
          </w:pPr>
          <w:hyperlink w:anchor="_Toc352323669" w:history="1">
            <w:r w:rsidRPr="005656B7">
              <w:rPr>
                <w:rStyle w:val="Hyperlink"/>
                <w:snapToGrid w:val="0"/>
                <w:w w:val="0"/>
              </w:rPr>
              <w:t>Appendix A</w:t>
            </w:r>
            <w:r>
              <w:rPr>
                <w:rFonts w:asciiTheme="minorHAnsi" w:eastAsiaTheme="minorEastAsia" w:hAnsiTheme="minorHAnsi" w:cstheme="minorBidi"/>
                <w:sz w:val="22"/>
                <w:szCs w:val="22"/>
              </w:rPr>
              <w:tab/>
            </w:r>
            <w:r w:rsidRPr="005656B7">
              <w:rPr>
                <w:rStyle w:val="Hyperlink"/>
              </w:rPr>
              <w:t>Difference-in-differences Regression Models</w:t>
            </w:r>
            <w:r>
              <w:rPr>
                <w:webHidden/>
              </w:rPr>
              <w:tab/>
            </w:r>
            <w:r>
              <w:rPr>
                <w:webHidden/>
              </w:rPr>
              <w:fldChar w:fldCharType="begin"/>
            </w:r>
            <w:r>
              <w:rPr>
                <w:webHidden/>
              </w:rPr>
              <w:instrText xml:space="preserve"> PAGEREF _Toc352323669 \h </w:instrText>
            </w:r>
            <w:r>
              <w:rPr>
                <w:webHidden/>
              </w:rPr>
            </w:r>
            <w:r>
              <w:rPr>
                <w:webHidden/>
              </w:rPr>
              <w:fldChar w:fldCharType="separate"/>
            </w:r>
            <w:r>
              <w:rPr>
                <w:webHidden/>
              </w:rPr>
              <w:t>80</w:t>
            </w:r>
            <w:r>
              <w:rPr>
                <w:webHidden/>
              </w:rPr>
              <w:fldChar w:fldCharType="end"/>
            </w:r>
          </w:hyperlink>
        </w:p>
        <w:p w:rsidR="008E36A9" w:rsidRDefault="008E36A9">
          <w:pPr>
            <w:pStyle w:val="TOC1"/>
            <w:rPr>
              <w:rFonts w:asciiTheme="minorHAnsi" w:eastAsiaTheme="minorEastAsia" w:hAnsiTheme="minorHAnsi" w:cstheme="minorBidi"/>
              <w:sz w:val="22"/>
              <w:szCs w:val="22"/>
            </w:rPr>
          </w:pPr>
          <w:hyperlink w:anchor="_Toc352323670" w:history="1">
            <w:r w:rsidRPr="005656B7">
              <w:rPr>
                <w:rStyle w:val="Hyperlink"/>
                <w:snapToGrid w:val="0"/>
                <w:w w:val="0"/>
              </w:rPr>
              <w:t>Appendix B</w:t>
            </w:r>
            <w:r>
              <w:rPr>
                <w:rFonts w:asciiTheme="minorHAnsi" w:eastAsiaTheme="minorEastAsia" w:hAnsiTheme="minorHAnsi" w:cstheme="minorBidi"/>
                <w:sz w:val="22"/>
                <w:szCs w:val="22"/>
              </w:rPr>
              <w:tab/>
            </w:r>
            <w:r w:rsidRPr="005656B7">
              <w:rPr>
                <w:rStyle w:val="Hyperlink"/>
              </w:rPr>
              <w:t>False Experiment Proxy Event Days</w:t>
            </w:r>
            <w:r>
              <w:rPr>
                <w:webHidden/>
              </w:rPr>
              <w:tab/>
            </w:r>
            <w:r>
              <w:rPr>
                <w:webHidden/>
              </w:rPr>
              <w:fldChar w:fldCharType="begin"/>
            </w:r>
            <w:r>
              <w:rPr>
                <w:webHidden/>
              </w:rPr>
              <w:instrText xml:space="preserve"> PAGEREF _Toc352323670 \h </w:instrText>
            </w:r>
            <w:r>
              <w:rPr>
                <w:webHidden/>
              </w:rPr>
            </w:r>
            <w:r>
              <w:rPr>
                <w:webHidden/>
              </w:rPr>
              <w:fldChar w:fldCharType="separate"/>
            </w:r>
            <w:r>
              <w:rPr>
                <w:webHidden/>
              </w:rPr>
              <w:t>84</w:t>
            </w:r>
            <w:r>
              <w:rPr>
                <w:webHidden/>
              </w:rPr>
              <w:fldChar w:fldCharType="end"/>
            </w:r>
          </w:hyperlink>
        </w:p>
        <w:p w:rsidR="008E36A9" w:rsidRDefault="008E36A9">
          <w:pPr>
            <w:pStyle w:val="TOC1"/>
            <w:rPr>
              <w:rFonts w:asciiTheme="minorHAnsi" w:eastAsiaTheme="minorEastAsia" w:hAnsiTheme="minorHAnsi" w:cstheme="minorBidi"/>
              <w:sz w:val="22"/>
              <w:szCs w:val="22"/>
            </w:rPr>
          </w:pPr>
          <w:hyperlink w:anchor="_Toc352323671" w:history="1">
            <w:r w:rsidRPr="005656B7">
              <w:rPr>
                <w:rStyle w:val="Hyperlink"/>
                <w:snapToGrid w:val="0"/>
                <w:w w:val="0"/>
              </w:rPr>
              <w:t>Appendix C</w:t>
            </w:r>
            <w:r>
              <w:rPr>
                <w:rFonts w:asciiTheme="minorHAnsi" w:eastAsiaTheme="minorEastAsia" w:hAnsiTheme="minorHAnsi" w:cstheme="minorBidi"/>
                <w:sz w:val="22"/>
                <w:szCs w:val="22"/>
              </w:rPr>
              <w:tab/>
            </w:r>
            <w:r w:rsidRPr="005656B7">
              <w:rPr>
                <w:rStyle w:val="Hyperlink"/>
              </w:rPr>
              <w:t>Individual Customer Regression Models</w:t>
            </w:r>
            <w:r>
              <w:rPr>
                <w:webHidden/>
              </w:rPr>
              <w:tab/>
            </w:r>
            <w:r>
              <w:rPr>
                <w:webHidden/>
              </w:rPr>
              <w:fldChar w:fldCharType="begin"/>
            </w:r>
            <w:r>
              <w:rPr>
                <w:webHidden/>
              </w:rPr>
              <w:instrText xml:space="preserve"> PAGEREF _Toc352323671 \h </w:instrText>
            </w:r>
            <w:r>
              <w:rPr>
                <w:webHidden/>
              </w:rPr>
            </w:r>
            <w:r>
              <w:rPr>
                <w:webHidden/>
              </w:rPr>
              <w:fldChar w:fldCharType="separate"/>
            </w:r>
            <w:r>
              <w:rPr>
                <w:webHidden/>
              </w:rPr>
              <w:t>85</w:t>
            </w:r>
            <w:r>
              <w:rPr>
                <w:webHidden/>
              </w:rPr>
              <w:fldChar w:fldCharType="end"/>
            </w:r>
          </w:hyperlink>
        </w:p>
        <w:p w:rsidR="008E36A9" w:rsidRDefault="008E36A9">
          <w:pPr>
            <w:pStyle w:val="TOC3"/>
            <w:rPr>
              <w:rFonts w:asciiTheme="minorHAnsi" w:hAnsiTheme="minorHAnsi" w:cstheme="minorBidi"/>
              <w:sz w:val="22"/>
              <w:szCs w:val="22"/>
            </w:rPr>
          </w:pPr>
          <w:hyperlink w:anchor="_Toc352323672" w:history="1">
            <w:r w:rsidRPr="005656B7">
              <w:rPr>
                <w:rStyle w:val="Hyperlink"/>
                <w:snapToGrid w:val="0"/>
                <w:w w:val="0"/>
              </w:rPr>
              <w:t>C.1</w:t>
            </w:r>
            <w:r>
              <w:rPr>
                <w:rFonts w:asciiTheme="minorHAnsi" w:hAnsiTheme="minorHAnsi" w:cstheme="minorBidi"/>
                <w:sz w:val="22"/>
                <w:szCs w:val="22"/>
              </w:rPr>
              <w:tab/>
            </w:r>
            <w:r w:rsidRPr="005656B7">
              <w:rPr>
                <w:rStyle w:val="Hyperlink"/>
              </w:rPr>
              <w:t>Regression Models</w:t>
            </w:r>
            <w:r>
              <w:rPr>
                <w:webHidden/>
              </w:rPr>
              <w:tab/>
            </w:r>
            <w:r>
              <w:rPr>
                <w:webHidden/>
              </w:rPr>
              <w:fldChar w:fldCharType="begin"/>
            </w:r>
            <w:r>
              <w:rPr>
                <w:webHidden/>
              </w:rPr>
              <w:instrText xml:space="preserve"> PAGEREF _Toc352323672 \h </w:instrText>
            </w:r>
            <w:r>
              <w:rPr>
                <w:webHidden/>
              </w:rPr>
            </w:r>
            <w:r>
              <w:rPr>
                <w:webHidden/>
              </w:rPr>
              <w:fldChar w:fldCharType="separate"/>
            </w:r>
            <w:r>
              <w:rPr>
                <w:webHidden/>
              </w:rPr>
              <w:t>86</w:t>
            </w:r>
            <w:r>
              <w:rPr>
                <w:webHidden/>
              </w:rPr>
              <w:fldChar w:fldCharType="end"/>
            </w:r>
          </w:hyperlink>
        </w:p>
        <w:p w:rsidR="008E36A9" w:rsidRDefault="008E36A9">
          <w:pPr>
            <w:pStyle w:val="TOC3"/>
            <w:rPr>
              <w:rFonts w:asciiTheme="minorHAnsi" w:hAnsiTheme="minorHAnsi" w:cstheme="minorBidi"/>
              <w:sz w:val="22"/>
              <w:szCs w:val="22"/>
            </w:rPr>
          </w:pPr>
          <w:hyperlink w:anchor="_Toc352323673" w:history="1">
            <w:r w:rsidRPr="005656B7">
              <w:rPr>
                <w:rStyle w:val="Hyperlink"/>
                <w:snapToGrid w:val="0"/>
                <w:w w:val="0"/>
              </w:rPr>
              <w:t>C.2</w:t>
            </w:r>
            <w:r>
              <w:rPr>
                <w:rFonts w:asciiTheme="minorHAnsi" w:hAnsiTheme="minorHAnsi" w:cstheme="minorBidi"/>
                <w:sz w:val="22"/>
                <w:szCs w:val="22"/>
              </w:rPr>
              <w:tab/>
            </w:r>
            <w:r w:rsidRPr="005656B7">
              <w:rPr>
                <w:rStyle w:val="Hyperlink"/>
              </w:rPr>
              <w:t>Validation Tests</w:t>
            </w:r>
            <w:r>
              <w:rPr>
                <w:webHidden/>
              </w:rPr>
              <w:tab/>
            </w:r>
            <w:r>
              <w:rPr>
                <w:webHidden/>
              </w:rPr>
              <w:fldChar w:fldCharType="begin"/>
            </w:r>
            <w:r>
              <w:rPr>
                <w:webHidden/>
              </w:rPr>
              <w:instrText xml:space="preserve"> PAGEREF _Toc352323673 \h </w:instrText>
            </w:r>
            <w:r>
              <w:rPr>
                <w:webHidden/>
              </w:rPr>
            </w:r>
            <w:r>
              <w:rPr>
                <w:webHidden/>
              </w:rPr>
              <w:fldChar w:fldCharType="separate"/>
            </w:r>
            <w:r>
              <w:rPr>
                <w:webHidden/>
              </w:rPr>
              <w:t>88</w:t>
            </w:r>
            <w:r>
              <w:rPr>
                <w:webHidden/>
              </w:rPr>
              <w:fldChar w:fldCharType="end"/>
            </w:r>
          </w:hyperlink>
        </w:p>
        <w:p w:rsidR="008E36A9" w:rsidRDefault="008E36A9">
          <w:pPr>
            <w:pStyle w:val="TOC1"/>
            <w:rPr>
              <w:rFonts w:asciiTheme="minorHAnsi" w:eastAsiaTheme="minorEastAsia" w:hAnsiTheme="minorHAnsi" w:cstheme="minorBidi"/>
              <w:sz w:val="22"/>
              <w:szCs w:val="22"/>
            </w:rPr>
          </w:pPr>
          <w:hyperlink w:anchor="_Toc352323674" w:history="1">
            <w:r w:rsidRPr="005656B7">
              <w:rPr>
                <w:rStyle w:val="Hyperlink"/>
                <w:snapToGrid w:val="0"/>
                <w:w w:val="0"/>
              </w:rPr>
              <w:t>Appendix D</w:t>
            </w:r>
            <w:r>
              <w:rPr>
                <w:rFonts w:asciiTheme="minorHAnsi" w:eastAsiaTheme="minorEastAsia" w:hAnsiTheme="minorHAnsi" w:cstheme="minorBidi"/>
                <w:sz w:val="22"/>
                <w:szCs w:val="22"/>
              </w:rPr>
              <w:tab/>
            </w:r>
            <w:r w:rsidRPr="005656B7">
              <w:rPr>
                <w:rStyle w:val="Hyperlink"/>
              </w:rPr>
              <w:t>Portfolio-adjusted Load Impacts</w:t>
            </w:r>
            <w:r>
              <w:rPr>
                <w:webHidden/>
              </w:rPr>
              <w:tab/>
            </w:r>
            <w:r>
              <w:rPr>
                <w:webHidden/>
              </w:rPr>
              <w:fldChar w:fldCharType="begin"/>
            </w:r>
            <w:r>
              <w:rPr>
                <w:webHidden/>
              </w:rPr>
              <w:instrText xml:space="preserve"> PAGEREF _Toc352323674 \h </w:instrText>
            </w:r>
            <w:r>
              <w:rPr>
                <w:webHidden/>
              </w:rPr>
            </w:r>
            <w:r>
              <w:rPr>
                <w:webHidden/>
              </w:rPr>
              <w:fldChar w:fldCharType="separate"/>
            </w:r>
            <w:r>
              <w:rPr>
                <w:webHidden/>
              </w:rPr>
              <w:t>92</w:t>
            </w:r>
            <w:r>
              <w:rPr>
                <w:webHidden/>
              </w:rPr>
              <w:fldChar w:fldCharType="end"/>
            </w:r>
          </w:hyperlink>
        </w:p>
        <w:p w:rsidR="001A71A9" w:rsidRDefault="00591822" w:rsidP="00056D0A">
          <w:pPr>
            <w:pStyle w:val="TOC1"/>
          </w:pPr>
          <w:r>
            <w:rPr>
              <w:rFonts w:ascii="Arial" w:hAnsi="Arial"/>
              <w:sz w:val="24"/>
            </w:rPr>
            <w:fldChar w:fldCharType="end"/>
          </w:r>
        </w:p>
      </w:sdtContent>
    </w:sdt>
    <w:p w:rsidR="00626371" w:rsidRDefault="00626371">
      <w:pPr>
        <w:sectPr w:rsidR="00626371" w:rsidSect="00626371">
          <w:headerReference w:type="default" r:id="rId18"/>
          <w:footerReference w:type="default" r:id="rId19"/>
          <w:headerReference w:type="first" r:id="rId20"/>
          <w:footerReference w:type="first" r:id="rId21"/>
          <w:pgSz w:w="12240" w:h="15840"/>
          <w:pgMar w:top="1440" w:right="1440" w:bottom="1440" w:left="1440" w:header="720" w:footer="720" w:gutter="0"/>
          <w:pgNumType w:fmt="lowerRoman" w:start="1"/>
          <w:cols w:space="720"/>
          <w:docGrid w:linePitch="360"/>
        </w:sectPr>
      </w:pPr>
      <w:bookmarkStart w:id="0" w:name="_Toc289177988"/>
      <w:bookmarkStart w:id="1" w:name="_Toc326072090"/>
    </w:p>
    <w:p w:rsidR="00A160C2" w:rsidRDefault="00A160C2" w:rsidP="00A160C2">
      <w:pPr>
        <w:pStyle w:val="Heading1"/>
      </w:pPr>
      <w:bookmarkStart w:id="2" w:name="_Toc352323620"/>
      <w:r w:rsidRPr="005C465D">
        <w:lastRenderedPageBreak/>
        <w:t>Executive</w:t>
      </w:r>
      <w:r>
        <w:t xml:space="preserve"> </w:t>
      </w:r>
      <w:r w:rsidRPr="00A160C2">
        <w:t>Summary</w:t>
      </w:r>
      <w:bookmarkEnd w:id="0"/>
      <w:bookmarkEnd w:id="1"/>
      <w:bookmarkEnd w:id="2"/>
      <w:r>
        <w:tab/>
      </w:r>
    </w:p>
    <w:p w:rsidR="00CC7840" w:rsidRDefault="00474005" w:rsidP="00A160C2">
      <w:pPr>
        <w:pStyle w:val="BodyParagraph"/>
      </w:pPr>
      <w:r>
        <w:t>This report present</w:t>
      </w:r>
      <w:r w:rsidR="00CC7840">
        <w:t>s the 2012</w:t>
      </w:r>
      <w:r w:rsidR="00A160C2" w:rsidRPr="005C465D">
        <w:t xml:space="preserve"> ex post loa</w:t>
      </w:r>
      <w:r w:rsidR="00CC7840">
        <w:t>d impact estimates for the Non-r</w:t>
      </w:r>
      <w:r w:rsidR="00A160C2" w:rsidRPr="005C465D">
        <w:t xml:space="preserve">esidential Critical Peak Pricing (CPP) tariffs that have been implemented by California’s three electric investor owned utilities (IOUs), Pacific Gas and Electric </w:t>
      </w:r>
      <w:r w:rsidR="00CC7840">
        <w:t xml:space="preserve">Co. </w:t>
      </w:r>
      <w:r w:rsidR="00A160C2" w:rsidRPr="005C465D">
        <w:t xml:space="preserve">(PG&amp;E), Southern California Edison (SCE) and San Diego Gas and Electric </w:t>
      </w:r>
      <w:r w:rsidR="00CC7840">
        <w:t xml:space="preserve">Co. </w:t>
      </w:r>
      <w:r w:rsidR="00A160C2" w:rsidRPr="005C465D">
        <w:t xml:space="preserve">(SDG&amp;E). </w:t>
      </w:r>
      <w:r w:rsidR="00DA5F7E">
        <w:t xml:space="preserve"> Ex ante estimates for 2013 through 2023 are also presented, including a base year 2012 ex ante estimate.</w:t>
      </w:r>
    </w:p>
    <w:p w:rsidR="007A1B78" w:rsidRDefault="003D1817" w:rsidP="003D1817">
      <w:pPr>
        <w:pStyle w:val="BodyParagraph"/>
      </w:pPr>
      <w:bookmarkStart w:id="3" w:name="_Toc318285420"/>
      <w:bookmarkStart w:id="4" w:name="_Toc318290044"/>
      <w:bookmarkStart w:id="5" w:name="_Toc318368887"/>
      <w:bookmarkStart w:id="6" w:name="_Toc318399481"/>
      <w:bookmarkStart w:id="7" w:name="_Toc318400299"/>
      <w:bookmarkStart w:id="8" w:name="_Toc318401774"/>
      <w:bookmarkStart w:id="9" w:name="_Toc318412995"/>
      <w:bookmarkStart w:id="10" w:name="_Toc318413289"/>
      <w:bookmarkStart w:id="11" w:name="_Toc318285421"/>
      <w:bookmarkStart w:id="12" w:name="_Toc318290045"/>
      <w:bookmarkStart w:id="13" w:name="_Toc318368888"/>
      <w:bookmarkStart w:id="14" w:name="_Toc318399482"/>
      <w:bookmarkStart w:id="15" w:name="_Toc318400300"/>
      <w:bookmarkStart w:id="16" w:name="_Toc318401775"/>
      <w:bookmarkStart w:id="17" w:name="_Toc318412996"/>
      <w:bookmarkStart w:id="18" w:name="_Toc318413290"/>
      <w:bookmarkStart w:id="19" w:name="_Toc318285422"/>
      <w:bookmarkStart w:id="20" w:name="_Toc318290046"/>
      <w:bookmarkStart w:id="21" w:name="_Toc318368889"/>
      <w:bookmarkStart w:id="22" w:name="_Toc318399483"/>
      <w:bookmarkStart w:id="23" w:name="_Toc318400301"/>
      <w:bookmarkStart w:id="24" w:name="_Toc318401776"/>
      <w:bookmarkStart w:id="25" w:name="_Toc318412997"/>
      <w:bookmarkStart w:id="26" w:name="_Toc318413291"/>
      <w:bookmarkStart w:id="27" w:name="_Toc318285423"/>
      <w:bookmarkStart w:id="28" w:name="_Toc318290047"/>
      <w:bookmarkStart w:id="29" w:name="_Toc318368890"/>
      <w:bookmarkStart w:id="30" w:name="_Toc318399484"/>
      <w:bookmarkStart w:id="31" w:name="_Toc318400302"/>
      <w:bookmarkStart w:id="32" w:name="_Toc318401777"/>
      <w:bookmarkStart w:id="33" w:name="_Toc318412998"/>
      <w:bookmarkStart w:id="34" w:name="_Toc31841329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t xml:space="preserve">Critical Peak Pricing is an electric rate in which </w:t>
      </w:r>
      <w:r w:rsidR="000921FA">
        <w:t>a</w:t>
      </w:r>
      <w:r>
        <w:t xml:space="preserve"> utility charges a higher price for consumption of</w:t>
      </w:r>
      <w:r w:rsidR="00502446">
        <w:t> </w:t>
      </w:r>
      <w:r>
        <w:t>el</w:t>
      </w:r>
      <w:r w:rsidR="007A1B78">
        <w:t>ectricity during peak hours o</w:t>
      </w:r>
      <w:r w:rsidR="00AA3BA6">
        <w:t>n</w:t>
      </w:r>
      <w:r w:rsidR="007A1B78">
        <w:t xml:space="preserve"> </w:t>
      </w:r>
      <w:r w:rsidR="000921FA">
        <w:t xml:space="preserve">selected </w:t>
      </w:r>
      <w:r>
        <w:t>days</w:t>
      </w:r>
      <w:r w:rsidR="000921FA">
        <w:t>, referred to as critical peak days</w:t>
      </w:r>
      <w:r w:rsidR="00CC4B63">
        <w:t xml:space="preserve"> or event days</w:t>
      </w:r>
      <w:r w:rsidR="000921FA">
        <w:t xml:space="preserve">.  </w:t>
      </w:r>
      <w:r>
        <w:t xml:space="preserve">Typically, CPP hours </w:t>
      </w:r>
      <w:r w:rsidR="007A1B78">
        <w:t>coincide</w:t>
      </w:r>
      <w:r>
        <w:t xml:space="preserve"> with the utility’s peak demand</w:t>
      </w:r>
      <w:r w:rsidR="000921FA">
        <w:t xml:space="preserve"> and CPP days are called 5 to 15 times a year when demand is high and supply is short</w:t>
      </w:r>
      <w:r w:rsidR="00CC4B63">
        <w:t>.</w:t>
      </w:r>
      <w:r w:rsidR="000921FA">
        <w:t xml:space="preserve"> </w:t>
      </w:r>
      <w:r>
        <w:t xml:space="preserve"> </w:t>
      </w:r>
      <w:r w:rsidR="007A1B78">
        <w:t xml:space="preserve">The </w:t>
      </w:r>
      <w:r w:rsidR="007A1B78" w:rsidRPr="00DE0AB2">
        <w:t xml:space="preserve">higher price during </w:t>
      </w:r>
      <w:r w:rsidR="007A1B78">
        <w:t>peak hours o</w:t>
      </w:r>
      <w:r w:rsidR="00CC4B63">
        <w:t>n</w:t>
      </w:r>
      <w:r w:rsidR="007A1B78">
        <w:t xml:space="preserve"> </w:t>
      </w:r>
      <w:r w:rsidR="007A1B78" w:rsidRPr="00DE0AB2">
        <w:t>critical event days</w:t>
      </w:r>
      <w:r w:rsidR="00850108">
        <w:t xml:space="preserve"> is</w:t>
      </w:r>
      <w:r w:rsidR="007A1B78" w:rsidRPr="007A1B78">
        <w:t xml:space="preserve"> </w:t>
      </w:r>
      <w:r w:rsidR="007A1B78">
        <w:t>designed to encourage reductions in demand and reflects the fact that electric demand during those hours drives a substantial portion of electric infrastructure costs.</w:t>
      </w:r>
      <w:r w:rsidR="00CC4B63">
        <w:t xml:space="preserve">  Compared with non-CPP tariffs, the higher CPP prices are typically offset by reductions in energy prices during non-peak hours, reductions in demand charges or both.  </w:t>
      </w:r>
    </w:p>
    <w:p w:rsidR="003D1817" w:rsidRDefault="007A1B78" w:rsidP="003D1817">
      <w:pPr>
        <w:pStyle w:val="BodyParagraph"/>
      </w:pPr>
      <w:r>
        <w:t xml:space="preserve">Most customers </w:t>
      </w:r>
      <w:r w:rsidR="00CC4B63">
        <w:t xml:space="preserve">that faced </w:t>
      </w:r>
      <w:r>
        <w:t xml:space="preserve">CPP rates in </w:t>
      </w:r>
      <w:r w:rsidR="00CC4B63">
        <w:t>C</w:t>
      </w:r>
      <w:r w:rsidR="00681EA7">
        <w:t>alifornia</w:t>
      </w:r>
      <w:r w:rsidR="00CC4B63">
        <w:t xml:space="preserve"> in </w:t>
      </w:r>
      <w:r>
        <w:t xml:space="preserve">2012 </w:t>
      </w:r>
      <w:r w:rsidR="00CC4B63">
        <w:t>we</w:t>
      </w:r>
      <w:r>
        <w:t xml:space="preserve">re large C&amp;I customers </w:t>
      </w:r>
      <w:r w:rsidR="00CC4B63">
        <w:t>that</w:t>
      </w:r>
      <w:r>
        <w:t xml:space="preserve"> were </w:t>
      </w:r>
      <w:r w:rsidRPr="00856B7A">
        <w:t>defa</w:t>
      </w:r>
      <w:r>
        <w:t>ulted onto CPP from pre-existing TOU</w:t>
      </w:r>
      <w:r w:rsidRPr="00856B7A">
        <w:t xml:space="preserve"> rates that already provided incentives to shift or reduce electricity use during peak periods.</w:t>
      </w:r>
      <w:r>
        <w:t xml:space="preserve">  In 2012, a</w:t>
      </w:r>
      <w:r w:rsidR="003D1817">
        <w:t xml:space="preserve">ll three IOUs </w:t>
      </w:r>
      <w:r w:rsidR="00DA5F7E">
        <w:t xml:space="preserve">also </w:t>
      </w:r>
      <w:r>
        <w:t xml:space="preserve">offered </w:t>
      </w:r>
      <w:r w:rsidR="003D1817">
        <w:t>CPP rates</w:t>
      </w:r>
      <w:r>
        <w:t xml:space="preserve"> to</w:t>
      </w:r>
      <w:r w:rsidR="003D1817">
        <w:t xml:space="preserve"> small and medium </w:t>
      </w:r>
      <w:r w:rsidR="00681EA7">
        <w:t xml:space="preserve">businesses (SMB) </w:t>
      </w:r>
      <w:r w:rsidR="003D1817">
        <w:t>on a voluntary basis</w:t>
      </w:r>
      <w:r w:rsidR="000A6976">
        <w:t>.</w:t>
      </w:r>
      <w:r w:rsidR="00320D15">
        <w:t xml:space="preserve"> </w:t>
      </w:r>
      <w:r w:rsidR="00502446">
        <w:t xml:space="preserve"> </w:t>
      </w:r>
      <w:r w:rsidR="00320D15">
        <w:t>Results from SMB voluntary enrollments are not included in this evaluation.</w:t>
      </w:r>
      <w:r w:rsidR="000A6976">
        <w:t xml:space="preserve"> </w:t>
      </w:r>
      <w:r w:rsidR="00502446">
        <w:t xml:space="preserve"> </w:t>
      </w:r>
      <w:r>
        <w:t xml:space="preserve">At </w:t>
      </w:r>
      <w:r w:rsidR="003D1817" w:rsidRPr="00856B7A">
        <w:t>S</w:t>
      </w:r>
      <w:r w:rsidR="003D1817">
        <w:rPr>
          <w:rFonts w:cs="Arial"/>
        </w:rPr>
        <w:t>DG&amp;E and PG&amp;E</w:t>
      </w:r>
      <w:r>
        <w:rPr>
          <w:rFonts w:cs="Arial"/>
        </w:rPr>
        <w:t>,</w:t>
      </w:r>
      <w:r w:rsidR="003D1817">
        <w:rPr>
          <w:rFonts w:cs="Arial"/>
        </w:rPr>
        <w:t xml:space="preserve"> customers </w:t>
      </w:r>
      <w:r w:rsidR="003D1817">
        <w:t xml:space="preserve">on CPP rates are provided </w:t>
      </w:r>
      <w:r w:rsidR="00CC4B63">
        <w:t xml:space="preserve">with </w:t>
      </w:r>
      <w:r w:rsidR="003D1817">
        <w:t xml:space="preserve">the opportunity to </w:t>
      </w:r>
      <w:r w:rsidR="00CC4B63">
        <w:t xml:space="preserve">hedge </w:t>
      </w:r>
      <w:r w:rsidR="003D1817">
        <w:t xml:space="preserve">against bill volatility by protecting a portion of their load from the higher </w:t>
      </w:r>
      <w:r>
        <w:t>prices during the peak period o</w:t>
      </w:r>
      <w:r w:rsidR="00DA5F7E">
        <w:t>n</w:t>
      </w:r>
      <w:r w:rsidR="00F92345">
        <w:t xml:space="preserve"> critical event days.</w:t>
      </w:r>
    </w:p>
    <w:p w:rsidR="000E3BA5" w:rsidRDefault="00CE47BF" w:rsidP="00056D0A">
      <w:pPr>
        <w:pStyle w:val="BodyBeforeBullet"/>
      </w:pPr>
      <w:r>
        <w:t>This evaluation i</w:t>
      </w:r>
      <w:r w:rsidR="000E3BA5">
        <w:t>s designed to</w:t>
      </w:r>
      <w:r w:rsidR="004F7857">
        <w:t xml:space="preserve"> address several research questions, including</w:t>
      </w:r>
      <w:r w:rsidR="000E3BA5">
        <w:t>:</w:t>
      </w:r>
    </w:p>
    <w:p w:rsidR="004F7857" w:rsidRDefault="004F7857" w:rsidP="004F7A9D">
      <w:pPr>
        <w:pStyle w:val="Bullets"/>
      </w:pPr>
      <w:r>
        <w:t xml:space="preserve">What amount of </w:t>
      </w:r>
      <w:r w:rsidRPr="004F7857">
        <w:t xml:space="preserve">demand </w:t>
      </w:r>
      <w:r>
        <w:t xml:space="preserve">did CPP participants reduce at each </w:t>
      </w:r>
      <w:r w:rsidR="00EF0B5B">
        <w:t>utility</w:t>
      </w:r>
      <w:r>
        <w:t xml:space="preserve"> during 2012 activation events (ex</w:t>
      </w:r>
      <w:r w:rsidR="000F341F">
        <w:t xml:space="preserve"> </w:t>
      </w:r>
      <w:r>
        <w:t xml:space="preserve">post impacts)? </w:t>
      </w:r>
    </w:p>
    <w:p w:rsidR="004F7857" w:rsidRDefault="004F7857" w:rsidP="004F7A9D">
      <w:pPr>
        <w:pStyle w:val="Bullets"/>
      </w:pPr>
      <w:r>
        <w:t>Did the estimated demand reductions vary across events and did they vary by temperature</w:t>
      </w:r>
      <w:r w:rsidR="000F341F">
        <w:t> </w:t>
      </w:r>
      <w:r>
        <w:t>conditions?</w:t>
      </w:r>
    </w:p>
    <w:p w:rsidR="00E45445" w:rsidRDefault="004F7857" w:rsidP="004F7A9D">
      <w:pPr>
        <w:pStyle w:val="Bullets"/>
      </w:pPr>
      <w:r>
        <w:t>How do the number of ac</w:t>
      </w:r>
      <w:r w:rsidR="00850108">
        <w:t>counts, load, demand reductions</w:t>
      </w:r>
      <w:r>
        <w:t xml:space="preserve"> and performance vary across different industry, location and customer size categories?  </w:t>
      </w:r>
    </w:p>
    <w:p w:rsidR="004F7857" w:rsidRDefault="004F7857" w:rsidP="004F7A9D">
      <w:pPr>
        <w:pStyle w:val="Bullets"/>
      </w:pPr>
      <w:r>
        <w:t>Do demand reduction</w:t>
      </w:r>
      <w:r w:rsidR="00E45445">
        <w:t>s</w:t>
      </w:r>
      <w:r>
        <w:t xml:space="preserve"> vary based on the presence of enabling technology and/or </w:t>
      </w:r>
      <w:r w:rsidR="00E45445">
        <w:t>participation in other DR programs?</w:t>
      </w:r>
    </w:p>
    <w:p w:rsidR="00E45445" w:rsidRDefault="00E45445" w:rsidP="004F7A9D">
      <w:pPr>
        <w:pStyle w:val="Bullets"/>
      </w:pPr>
      <w:r>
        <w:t xml:space="preserve">Have </w:t>
      </w:r>
      <w:r w:rsidRPr="00E45445">
        <w:t>customer demand reductions grow</w:t>
      </w:r>
      <w:r>
        <w:t>n</w:t>
      </w:r>
      <w:r w:rsidRPr="00E45445">
        <w:t>, decrease</w:t>
      </w:r>
      <w:r>
        <w:t>d</w:t>
      </w:r>
      <w:r w:rsidRPr="00E45445">
        <w:t xml:space="preserve"> or remain</w:t>
      </w:r>
      <w:r w:rsidR="00943B63">
        <w:t>ed</w:t>
      </w:r>
      <w:r w:rsidRPr="00E45445">
        <w:t xml:space="preserve"> constant </w:t>
      </w:r>
      <w:r>
        <w:t>across years?</w:t>
      </w:r>
    </w:p>
    <w:p w:rsidR="00E45445" w:rsidRDefault="00E45445" w:rsidP="004F7A9D">
      <w:pPr>
        <w:pStyle w:val="Bullets"/>
      </w:pPr>
      <w:r>
        <w:t xml:space="preserve">What </w:t>
      </w:r>
      <w:r w:rsidR="00EF0B5B">
        <w:t xml:space="preserve">amount of </w:t>
      </w:r>
      <w:r>
        <w:t xml:space="preserve">demand reduction </w:t>
      </w:r>
      <w:r w:rsidR="00EF0B5B">
        <w:t xml:space="preserve">can </w:t>
      </w:r>
      <w:r>
        <w:t xml:space="preserve">CPP rates provide under normal (1-in-2) and extreme (1-in-10) peaking conditions? </w:t>
      </w:r>
    </w:p>
    <w:p w:rsidR="00E45445" w:rsidRDefault="00E45445" w:rsidP="004F7A9D">
      <w:pPr>
        <w:pStyle w:val="BulletLast"/>
      </w:pPr>
      <w:r>
        <w:t xml:space="preserve">How </w:t>
      </w:r>
      <w:r w:rsidR="00EF0B5B">
        <w:t>are CPP</w:t>
      </w:r>
      <w:r>
        <w:t xml:space="preserve"> demand reduction</w:t>
      </w:r>
      <w:r w:rsidR="00EF0B5B">
        <w:t xml:space="preserve"> resources </w:t>
      </w:r>
      <w:r>
        <w:t xml:space="preserve">forecasted to change </w:t>
      </w:r>
      <w:r w:rsidR="00EF0B5B">
        <w:t xml:space="preserve">in future years?  How much </w:t>
      </w:r>
      <w:r w:rsidR="000F341F">
        <w:t xml:space="preserve">of </w:t>
      </w:r>
      <w:r w:rsidR="00EF0B5B">
        <w:t xml:space="preserve">the forecasted change is </w:t>
      </w:r>
      <w:r>
        <w:t>due to changes in program enro</w:t>
      </w:r>
      <w:r w:rsidR="00EF0B5B">
        <w:t>l</w:t>
      </w:r>
      <w:r>
        <w:t xml:space="preserve">lment </w:t>
      </w:r>
      <w:r w:rsidR="001C6CED">
        <w:t>versus differences in weather between ex post and ex ante weather conditions</w:t>
      </w:r>
      <w:r>
        <w:t xml:space="preserve">? </w:t>
      </w:r>
    </w:p>
    <w:p w:rsidR="00C1526E" w:rsidRDefault="00850108" w:rsidP="00056D0A">
      <w:pPr>
        <w:pStyle w:val="BodyParagraph"/>
      </w:pPr>
      <w:bookmarkStart w:id="35" w:name="_Toc351453911"/>
      <w:bookmarkStart w:id="36" w:name="_Toc351455313"/>
      <w:bookmarkStart w:id="37" w:name="_Toc351462569"/>
      <w:bookmarkStart w:id="38" w:name="_Toc351469352"/>
      <w:bookmarkEnd w:id="35"/>
      <w:bookmarkEnd w:id="36"/>
      <w:bookmarkEnd w:id="37"/>
      <w:bookmarkEnd w:id="38"/>
      <w:r>
        <w:t>Table 1-1</w:t>
      </w:r>
      <w:r w:rsidR="00352740">
        <w:t xml:space="preserve"> </w:t>
      </w:r>
      <w:r w:rsidR="00352740" w:rsidRPr="00056D0A">
        <w:t>summarizes</w:t>
      </w:r>
      <w:r w:rsidR="00352740">
        <w:t xml:space="preserve"> the </w:t>
      </w:r>
      <w:r w:rsidR="007F58A4">
        <w:t xml:space="preserve">2012 program year results for PG&amp;E, SCE and SDG&amp;E and compares them </w:t>
      </w:r>
      <w:r w:rsidR="00B16F30">
        <w:t xml:space="preserve">with the </w:t>
      </w:r>
      <w:r w:rsidR="00352740">
        <w:t>2011</w:t>
      </w:r>
      <w:r w:rsidR="007F58A4">
        <w:t xml:space="preserve"> program year </w:t>
      </w:r>
      <w:r w:rsidR="00B16F30">
        <w:t>impacts</w:t>
      </w:r>
      <w:r w:rsidR="00352740">
        <w:t xml:space="preserve">. </w:t>
      </w:r>
      <w:r w:rsidR="007F58A4">
        <w:t xml:space="preserve"> </w:t>
      </w:r>
    </w:p>
    <w:p w:rsidR="00B16F30" w:rsidRDefault="00B16F30" w:rsidP="00B16F30">
      <w:pPr>
        <w:pStyle w:val="TableFigureCaption"/>
      </w:pPr>
      <w:r w:rsidRPr="00352740">
        <w:lastRenderedPageBreak/>
        <w:t>Table 1-</w:t>
      </w:r>
      <w:r>
        <w:t>1</w:t>
      </w:r>
      <w:r w:rsidRPr="00352740">
        <w:t>: Summary of 2011 and 2012 Statewide CPP Impacts</w:t>
      </w:r>
      <w:r>
        <w:br/>
      </w:r>
      <w:r w:rsidRPr="00352740">
        <w:t>Average Event Day</w:t>
      </w:r>
    </w:p>
    <w:tbl>
      <w:tblPr>
        <w:tblW w:w="5000" w:type="pct"/>
        <w:tblLook w:val="04A0" w:firstRow="1" w:lastRow="0" w:firstColumn="1" w:lastColumn="0" w:noHBand="0" w:noVBand="1"/>
      </w:tblPr>
      <w:tblGrid>
        <w:gridCol w:w="913"/>
        <w:gridCol w:w="1159"/>
        <w:gridCol w:w="1159"/>
        <w:gridCol w:w="1439"/>
        <w:gridCol w:w="1428"/>
        <w:gridCol w:w="1184"/>
        <w:gridCol w:w="1134"/>
        <w:gridCol w:w="1160"/>
      </w:tblGrid>
      <w:tr w:rsidR="00827253" w:rsidRPr="00C82C6B" w:rsidTr="00C82C6B">
        <w:trPr>
          <w:trHeight w:val="900"/>
        </w:trPr>
        <w:tc>
          <w:tcPr>
            <w:tcW w:w="458" w:type="pct"/>
            <w:tcBorders>
              <w:top w:val="single" w:sz="4" w:space="0" w:color="auto"/>
              <w:left w:val="single" w:sz="4" w:space="0" w:color="auto"/>
              <w:bottom w:val="nil"/>
              <w:right w:val="single" w:sz="8" w:space="0" w:color="FFFFFF"/>
            </w:tcBorders>
            <w:shd w:val="clear" w:color="000000" w:fill="1F497D"/>
            <w:noWrap/>
            <w:vAlign w:val="center"/>
            <w:hideMark/>
          </w:tcPr>
          <w:p w:rsidR="00827253" w:rsidRPr="00C82C6B" w:rsidRDefault="005563B2" w:rsidP="001C4623">
            <w:pPr>
              <w:pStyle w:val="TableHeader"/>
            </w:pPr>
            <w:r w:rsidRPr="00C82C6B">
              <w:t>Utility</w:t>
            </w:r>
          </w:p>
        </w:tc>
        <w:tc>
          <w:tcPr>
            <w:tcW w:w="639" w:type="pct"/>
            <w:tcBorders>
              <w:top w:val="single" w:sz="4" w:space="0" w:color="auto"/>
              <w:left w:val="nil"/>
              <w:bottom w:val="nil"/>
              <w:right w:val="single" w:sz="8" w:space="0" w:color="FFFFFF"/>
            </w:tcBorders>
            <w:shd w:val="clear" w:color="000000" w:fill="1F497D"/>
            <w:vAlign w:val="center"/>
            <w:hideMark/>
          </w:tcPr>
          <w:p w:rsidR="00827253" w:rsidRPr="00C82C6B" w:rsidRDefault="00827253" w:rsidP="001C4623">
            <w:pPr>
              <w:pStyle w:val="TableHeader"/>
            </w:pPr>
            <w:r w:rsidRPr="00C82C6B">
              <w:t>Year</w:t>
            </w:r>
          </w:p>
        </w:tc>
        <w:tc>
          <w:tcPr>
            <w:tcW w:w="639" w:type="pct"/>
            <w:tcBorders>
              <w:top w:val="single" w:sz="4" w:space="0" w:color="auto"/>
              <w:left w:val="nil"/>
              <w:bottom w:val="nil"/>
              <w:right w:val="single" w:sz="8" w:space="0" w:color="FFFFFF"/>
            </w:tcBorders>
            <w:shd w:val="clear" w:color="000000" w:fill="1F497D"/>
            <w:vAlign w:val="center"/>
            <w:hideMark/>
          </w:tcPr>
          <w:p w:rsidR="00827253" w:rsidRPr="00C82C6B" w:rsidRDefault="00827253" w:rsidP="001C4623">
            <w:pPr>
              <w:pStyle w:val="TableHeader"/>
            </w:pPr>
            <w:r w:rsidRPr="00C82C6B">
              <w:t>Number of Events Called</w:t>
            </w:r>
          </w:p>
        </w:tc>
        <w:tc>
          <w:tcPr>
            <w:tcW w:w="673" w:type="pct"/>
            <w:tcBorders>
              <w:top w:val="single" w:sz="4" w:space="0" w:color="auto"/>
              <w:left w:val="nil"/>
              <w:bottom w:val="nil"/>
              <w:right w:val="single" w:sz="8" w:space="0" w:color="FFFFFF"/>
            </w:tcBorders>
            <w:shd w:val="clear" w:color="000000" w:fill="1F497D"/>
            <w:vAlign w:val="center"/>
            <w:hideMark/>
          </w:tcPr>
          <w:p w:rsidR="00827253" w:rsidRPr="00C82C6B" w:rsidRDefault="00827253" w:rsidP="001C4623">
            <w:pPr>
              <w:pStyle w:val="TableHeader"/>
            </w:pPr>
            <w:r w:rsidRPr="00C82C6B">
              <w:t>Approximate Customer Count</w:t>
            </w:r>
          </w:p>
        </w:tc>
        <w:tc>
          <w:tcPr>
            <w:tcW w:w="674" w:type="pct"/>
            <w:tcBorders>
              <w:top w:val="single" w:sz="4" w:space="0" w:color="auto"/>
              <w:left w:val="nil"/>
              <w:bottom w:val="nil"/>
              <w:right w:val="single" w:sz="8" w:space="0" w:color="FFFFFF"/>
            </w:tcBorders>
            <w:shd w:val="clear" w:color="000000" w:fill="1F497D"/>
            <w:vAlign w:val="center"/>
            <w:hideMark/>
          </w:tcPr>
          <w:p w:rsidR="00827253" w:rsidRPr="00C82C6B" w:rsidRDefault="00827253" w:rsidP="001C4623">
            <w:pPr>
              <w:pStyle w:val="TableHeader"/>
            </w:pPr>
            <w:r w:rsidRPr="00C82C6B">
              <w:t>Temperature (°F)</w:t>
            </w:r>
          </w:p>
        </w:tc>
        <w:tc>
          <w:tcPr>
            <w:tcW w:w="639" w:type="pct"/>
            <w:tcBorders>
              <w:top w:val="single" w:sz="4" w:space="0" w:color="auto"/>
              <w:left w:val="nil"/>
              <w:bottom w:val="nil"/>
              <w:right w:val="single" w:sz="8" w:space="0" w:color="FFFFFF"/>
            </w:tcBorders>
            <w:shd w:val="clear" w:color="000000" w:fill="1F497D"/>
            <w:vAlign w:val="center"/>
            <w:hideMark/>
          </w:tcPr>
          <w:p w:rsidR="00827253" w:rsidRPr="00C82C6B" w:rsidRDefault="00827253" w:rsidP="001C4623">
            <w:pPr>
              <w:pStyle w:val="TableHeader"/>
            </w:pPr>
            <w:r w:rsidRPr="00C82C6B">
              <w:t>Reference Load (MW)</w:t>
            </w:r>
          </w:p>
        </w:tc>
        <w:tc>
          <w:tcPr>
            <w:tcW w:w="639" w:type="pct"/>
            <w:tcBorders>
              <w:top w:val="single" w:sz="4" w:space="0" w:color="auto"/>
              <w:left w:val="nil"/>
              <w:bottom w:val="nil"/>
              <w:right w:val="single" w:sz="8" w:space="0" w:color="FFFFFF"/>
            </w:tcBorders>
            <w:shd w:val="clear" w:color="000000" w:fill="1F497D"/>
            <w:vAlign w:val="center"/>
            <w:hideMark/>
          </w:tcPr>
          <w:p w:rsidR="00827253" w:rsidRPr="00C82C6B" w:rsidRDefault="00827253" w:rsidP="001C4623">
            <w:pPr>
              <w:pStyle w:val="TableHeader"/>
            </w:pPr>
            <w:r w:rsidRPr="00C82C6B">
              <w:t>Load Impact (MW)</w:t>
            </w:r>
          </w:p>
        </w:tc>
        <w:tc>
          <w:tcPr>
            <w:tcW w:w="639" w:type="pct"/>
            <w:tcBorders>
              <w:top w:val="single" w:sz="4" w:space="0" w:color="auto"/>
              <w:left w:val="nil"/>
              <w:bottom w:val="nil"/>
              <w:right w:val="single" w:sz="4" w:space="0" w:color="auto"/>
            </w:tcBorders>
            <w:shd w:val="clear" w:color="000000" w:fill="1F497D"/>
            <w:vAlign w:val="center"/>
            <w:hideMark/>
          </w:tcPr>
          <w:p w:rsidR="00827253" w:rsidRPr="00C82C6B" w:rsidRDefault="00827253" w:rsidP="001C4623">
            <w:pPr>
              <w:pStyle w:val="TableHeader"/>
            </w:pPr>
            <w:r w:rsidRPr="00C82C6B">
              <w:t>Percent Impact (%)</w:t>
            </w:r>
          </w:p>
        </w:tc>
      </w:tr>
      <w:tr w:rsidR="00827253" w:rsidRPr="00C82C6B" w:rsidTr="00C82C6B">
        <w:trPr>
          <w:trHeight w:val="402"/>
        </w:trPr>
        <w:tc>
          <w:tcPr>
            <w:tcW w:w="45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27253" w:rsidRPr="00C82C6B" w:rsidRDefault="00827253" w:rsidP="001C4623">
            <w:pPr>
              <w:pStyle w:val="TableText"/>
            </w:pPr>
            <w:r w:rsidRPr="00C82C6B">
              <w:t>PG&amp;E</w:t>
            </w:r>
          </w:p>
        </w:tc>
        <w:tc>
          <w:tcPr>
            <w:tcW w:w="639" w:type="pct"/>
            <w:tcBorders>
              <w:top w:val="single" w:sz="4" w:space="0" w:color="auto"/>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2011</w:t>
            </w:r>
          </w:p>
        </w:tc>
        <w:tc>
          <w:tcPr>
            <w:tcW w:w="639" w:type="pct"/>
            <w:tcBorders>
              <w:top w:val="single" w:sz="4" w:space="0" w:color="auto"/>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9</w:t>
            </w:r>
          </w:p>
        </w:tc>
        <w:tc>
          <w:tcPr>
            <w:tcW w:w="673" w:type="pct"/>
            <w:tcBorders>
              <w:top w:val="single" w:sz="4" w:space="0" w:color="auto"/>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1,750</w:t>
            </w:r>
          </w:p>
        </w:tc>
        <w:tc>
          <w:tcPr>
            <w:tcW w:w="674" w:type="pct"/>
            <w:tcBorders>
              <w:top w:val="single" w:sz="4" w:space="0" w:color="auto"/>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88.1</w:t>
            </w:r>
          </w:p>
        </w:tc>
        <w:tc>
          <w:tcPr>
            <w:tcW w:w="639" w:type="pct"/>
            <w:tcBorders>
              <w:top w:val="single" w:sz="4" w:space="0" w:color="auto"/>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473</w:t>
            </w:r>
          </w:p>
        </w:tc>
        <w:tc>
          <w:tcPr>
            <w:tcW w:w="639" w:type="pct"/>
            <w:tcBorders>
              <w:top w:val="single" w:sz="4" w:space="0" w:color="auto"/>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28</w:t>
            </w:r>
          </w:p>
        </w:tc>
        <w:tc>
          <w:tcPr>
            <w:tcW w:w="639" w:type="pct"/>
            <w:tcBorders>
              <w:top w:val="single" w:sz="4" w:space="0" w:color="auto"/>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5.9%</w:t>
            </w:r>
          </w:p>
        </w:tc>
      </w:tr>
      <w:tr w:rsidR="00827253" w:rsidRPr="00C82C6B" w:rsidTr="00C82C6B">
        <w:trPr>
          <w:trHeight w:val="402"/>
        </w:trPr>
        <w:tc>
          <w:tcPr>
            <w:tcW w:w="458" w:type="pct"/>
            <w:vMerge/>
            <w:tcBorders>
              <w:top w:val="single" w:sz="4" w:space="0" w:color="auto"/>
              <w:left w:val="single" w:sz="4" w:space="0" w:color="auto"/>
              <w:bottom w:val="single" w:sz="4" w:space="0" w:color="auto"/>
              <w:right w:val="single" w:sz="4" w:space="0" w:color="auto"/>
            </w:tcBorders>
            <w:vAlign w:val="center"/>
            <w:hideMark/>
          </w:tcPr>
          <w:p w:rsidR="00827253" w:rsidRPr="00C82C6B" w:rsidRDefault="00827253" w:rsidP="001C4623">
            <w:pPr>
              <w:pStyle w:val="TableText"/>
            </w:pP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2012</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9</w:t>
            </w:r>
          </w:p>
        </w:tc>
        <w:tc>
          <w:tcPr>
            <w:tcW w:w="673" w:type="pct"/>
            <w:tcBorders>
              <w:top w:val="nil"/>
              <w:left w:val="nil"/>
              <w:bottom w:val="single" w:sz="4" w:space="0" w:color="auto"/>
              <w:right w:val="single" w:sz="4" w:space="0" w:color="auto"/>
            </w:tcBorders>
            <w:shd w:val="clear" w:color="auto" w:fill="auto"/>
            <w:noWrap/>
            <w:vAlign w:val="center"/>
            <w:hideMark/>
          </w:tcPr>
          <w:p w:rsidR="00827253" w:rsidRPr="00C82C6B" w:rsidRDefault="006B64EC" w:rsidP="001C4623">
            <w:pPr>
              <w:pStyle w:val="TableText"/>
            </w:pPr>
            <w:r>
              <w:t>1,627</w:t>
            </w:r>
          </w:p>
        </w:tc>
        <w:tc>
          <w:tcPr>
            <w:tcW w:w="674"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86.5</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6B64EC">
            <w:pPr>
              <w:pStyle w:val="TableText"/>
            </w:pPr>
            <w:r w:rsidRPr="00C82C6B">
              <w:t>4</w:t>
            </w:r>
            <w:r w:rsidR="006B64EC">
              <w:t>37</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6B64EC" w:rsidP="001C4623">
            <w:pPr>
              <w:pStyle w:val="TableText"/>
            </w:pPr>
            <w:r>
              <w:t>30</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6.9%</w:t>
            </w:r>
          </w:p>
        </w:tc>
      </w:tr>
      <w:tr w:rsidR="00827253" w:rsidRPr="00C82C6B" w:rsidTr="00C82C6B">
        <w:trPr>
          <w:trHeight w:val="402"/>
        </w:trPr>
        <w:tc>
          <w:tcPr>
            <w:tcW w:w="458"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827253" w:rsidRPr="00C82C6B" w:rsidRDefault="00827253" w:rsidP="001C4623">
            <w:pPr>
              <w:pStyle w:val="TableText"/>
            </w:pPr>
            <w:r w:rsidRPr="00C82C6B">
              <w:t>SCE</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2011</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12</w:t>
            </w:r>
          </w:p>
        </w:tc>
        <w:tc>
          <w:tcPr>
            <w:tcW w:w="673"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3,000</w:t>
            </w:r>
          </w:p>
        </w:tc>
        <w:tc>
          <w:tcPr>
            <w:tcW w:w="674"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84.7</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615</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35</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5.7%</w:t>
            </w:r>
          </w:p>
        </w:tc>
      </w:tr>
      <w:tr w:rsidR="00827253" w:rsidRPr="00C82C6B" w:rsidTr="00C82C6B">
        <w:trPr>
          <w:trHeight w:val="402"/>
        </w:trPr>
        <w:tc>
          <w:tcPr>
            <w:tcW w:w="458" w:type="pct"/>
            <w:vMerge/>
            <w:tcBorders>
              <w:top w:val="nil"/>
              <w:left w:val="single" w:sz="4" w:space="0" w:color="auto"/>
              <w:bottom w:val="single" w:sz="4" w:space="0" w:color="auto"/>
              <w:right w:val="single" w:sz="4" w:space="0" w:color="auto"/>
            </w:tcBorders>
            <w:vAlign w:val="center"/>
            <w:hideMark/>
          </w:tcPr>
          <w:p w:rsidR="00827253" w:rsidRPr="00C82C6B" w:rsidRDefault="00827253" w:rsidP="001C4623">
            <w:pPr>
              <w:pStyle w:val="TableText"/>
            </w:pP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2012</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12</w:t>
            </w:r>
          </w:p>
        </w:tc>
        <w:tc>
          <w:tcPr>
            <w:tcW w:w="673"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2,508</w:t>
            </w:r>
          </w:p>
        </w:tc>
        <w:tc>
          <w:tcPr>
            <w:tcW w:w="674"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87.3</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554</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33</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5.9%</w:t>
            </w:r>
          </w:p>
        </w:tc>
      </w:tr>
      <w:tr w:rsidR="00827253" w:rsidRPr="00C82C6B" w:rsidTr="00C82C6B">
        <w:trPr>
          <w:trHeight w:val="402"/>
        </w:trPr>
        <w:tc>
          <w:tcPr>
            <w:tcW w:w="458" w:type="pct"/>
            <w:vMerge w:val="restart"/>
            <w:tcBorders>
              <w:top w:val="nil"/>
              <w:left w:val="single" w:sz="4" w:space="0" w:color="auto"/>
              <w:bottom w:val="single" w:sz="4" w:space="0" w:color="auto"/>
              <w:right w:val="single" w:sz="4" w:space="0" w:color="auto"/>
            </w:tcBorders>
            <w:shd w:val="clear" w:color="000000" w:fill="FFFFFF"/>
            <w:noWrap/>
            <w:vAlign w:val="center"/>
            <w:hideMark/>
          </w:tcPr>
          <w:p w:rsidR="00827253" w:rsidRPr="00C82C6B" w:rsidRDefault="00827253" w:rsidP="001C4623">
            <w:pPr>
              <w:pStyle w:val="TableText"/>
              <w:rPr>
                <w:color w:val="0000FF"/>
                <w:u w:val="single"/>
              </w:rPr>
            </w:pPr>
            <w:r w:rsidRPr="00C82C6B">
              <w:rPr>
                <w:rFonts w:cs="Times New Roman"/>
              </w:rPr>
              <w:t>SDG&amp;E</w:t>
            </w:r>
            <w:r w:rsidRPr="00C82C6B">
              <w:rPr>
                <w:rStyle w:val="FootnoteReference"/>
                <w:rFonts w:ascii="Calibri" w:eastAsia="Times New Roman" w:hAnsi="Calibri" w:cs="Times New Roman"/>
                <w:b/>
                <w:bCs/>
                <w:color w:val="000000"/>
                <w:sz w:val="20"/>
                <w:szCs w:val="20"/>
              </w:rPr>
              <w:footnoteReference w:id="1"/>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2011</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2</w:t>
            </w:r>
          </w:p>
        </w:tc>
        <w:tc>
          <w:tcPr>
            <w:tcW w:w="673"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1,300</w:t>
            </w:r>
          </w:p>
        </w:tc>
        <w:tc>
          <w:tcPr>
            <w:tcW w:w="674"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86.2</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359</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19</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5.2%</w:t>
            </w:r>
          </w:p>
        </w:tc>
      </w:tr>
      <w:tr w:rsidR="00827253" w:rsidRPr="00C82C6B" w:rsidTr="00C82C6B">
        <w:trPr>
          <w:trHeight w:val="402"/>
        </w:trPr>
        <w:tc>
          <w:tcPr>
            <w:tcW w:w="458" w:type="pct"/>
            <w:vMerge/>
            <w:tcBorders>
              <w:top w:val="nil"/>
              <w:left w:val="single" w:sz="4" w:space="0" w:color="auto"/>
              <w:bottom w:val="single" w:sz="4" w:space="0" w:color="auto"/>
              <w:right w:val="single" w:sz="4" w:space="0" w:color="auto"/>
            </w:tcBorders>
            <w:vAlign w:val="center"/>
            <w:hideMark/>
          </w:tcPr>
          <w:p w:rsidR="00827253" w:rsidRPr="00C82C6B" w:rsidRDefault="00827253" w:rsidP="001C4623">
            <w:pPr>
              <w:pStyle w:val="TableText"/>
              <w:rPr>
                <w:color w:val="0000FF"/>
                <w:u w:val="single"/>
              </w:rPr>
            </w:pP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2012</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7</w:t>
            </w:r>
          </w:p>
        </w:tc>
        <w:tc>
          <w:tcPr>
            <w:tcW w:w="673"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1,117</w:t>
            </w:r>
          </w:p>
        </w:tc>
        <w:tc>
          <w:tcPr>
            <w:tcW w:w="674"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80.4</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268</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16</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6.0%</w:t>
            </w:r>
          </w:p>
        </w:tc>
      </w:tr>
      <w:tr w:rsidR="00827253" w:rsidRPr="00C82C6B" w:rsidTr="00C82C6B">
        <w:trPr>
          <w:trHeight w:val="402"/>
        </w:trPr>
        <w:tc>
          <w:tcPr>
            <w:tcW w:w="45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Total</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2011</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502446" w:rsidP="001C4623">
            <w:pPr>
              <w:pStyle w:val="TableText"/>
            </w:pPr>
            <w:r>
              <w:t>–</w:t>
            </w:r>
          </w:p>
        </w:tc>
        <w:tc>
          <w:tcPr>
            <w:tcW w:w="673"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6,050</w:t>
            </w:r>
          </w:p>
        </w:tc>
        <w:tc>
          <w:tcPr>
            <w:tcW w:w="674" w:type="pct"/>
            <w:tcBorders>
              <w:top w:val="nil"/>
              <w:left w:val="nil"/>
              <w:bottom w:val="single" w:sz="4" w:space="0" w:color="auto"/>
              <w:right w:val="single" w:sz="4" w:space="0" w:color="auto"/>
            </w:tcBorders>
            <w:shd w:val="clear" w:color="auto" w:fill="auto"/>
            <w:noWrap/>
            <w:vAlign w:val="center"/>
            <w:hideMark/>
          </w:tcPr>
          <w:p w:rsidR="00827253" w:rsidRPr="00C82C6B" w:rsidRDefault="00502446" w:rsidP="001C4623">
            <w:pPr>
              <w:pStyle w:val="TableText"/>
            </w:pPr>
            <w:r>
              <w:t>–</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1</w:t>
            </w:r>
            <w:r w:rsidR="006B64EC">
              <w:t>,</w:t>
            </w:r>
            <w:r w:rsidRPr="00C82C6B">
              <w:t>448</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81</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5.6%</w:t>
            </w:r>
          </w:p>
        </w:tc>
      </w:tr>
      <w:tr w:rsidR="00827253" w:rsidRPr="00C82C6B" w:rsidTr="00C82C6B">
        <w:trPr>
          <w:trHeight w:val="402"/>
        </w:trPr>
        <w:tc>
          <w:tcPr>
            <w:tcW w:w="458" w:type="pct"/>
            <w:vMerge/>
            <w:tcBorders>
              <w:top w:val="nil"/>
              <w:left w:val="single" w:sz="4" w:space="0" w:color="auto"/>
              <w:bottom w:val="single" w:sz="4" w:space="0" w:color="auto"/>
              <w:right w:val="single" w:sz="4" w:space="0" w:color="auto"/>
            </w:tcBorders>
            <w:vAlign w:val="center"/>
            <w:hideMark/>
          </w:tcPr>
          <w:p w:rsidR="00827253" w:rsidRPr="00C82C6B" w:rsidRDefault="00827253" w:rsidP="001C4623">
            <w:pPr>
              <w:pStyle w:val="TableText"/>
            </w:pP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2012</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502446" w:rsidP="001C4623">
            <w:pPr>
              <w:pStyle w:val="TableText"/>
            </w:pPr>
            <w:r>
              <w:t>–</w:t>
            </w:r>
          </w:p>
        </w:tc>
        <w:tc>
          <w:tcPr>
            <w:tcW w:w="673" w:type="pct"/>
            <w:tcBorders>
              <w:top w:val="nil"/>
              <w:left w:val="nil"/>
              <w:bottom w:val="single" w:sz="4" w:space="0" w:color="auto"/>
              <w:right w:val="single" w:sz="4" w:space="0" w:color="auto"/>
            </w:tcBorders>
            <w:shd w:val="clear" w:color="auto" w:fill="auto"/>
            <w:noWrap/>
            <w:vAlign w:val="center"/>
            <w:hideMark/>
          </w:tcPr>
          <w:p w:rsidR="00827253" w:rsidRPr="00C82C6B" w:rsidRDefault="006B64EC" w:rsidP="001C4623">
            <w:pPr>
              <w:pStyle w:val="TableText"/>
            </w:pPr>
            <w:r>
              <w:t>5,252</w:t>
            </w:r>
          </w:p>
        </w:tc>
        <w:tc>
          <w:tcPr>
            <w:tcW w:w="674" w:type="pct"/>
            <w:tcBorders>
              <w:top w:val="nil"/>
              <w:left w:val="nil"/>
              <w:bottom w:val="single" w:sz="4" w:space="0" w:color="auto"/>
              <w:right w:val="single" w:sz="4" w:space="0" w:color="auto"/>
            </w:tcBorders>
            <w:shd w:val="clear" w:color="auto" w:fill="auto"/>
            <w:noWrap/>
            <w:vAlign w:val="center"/>
            <w:hideMark/>
          </w:tcPr>
          <w:p w:rsidR="00827253" w:rsidRPr="00C82C6B" w:rsidRDefault="00502446" w:rsidP="001C4623">
            <w:pPr>
              <w:pStyle w:val="TableText"/>
            </w:pPr>
            <w:r>
              <w:t>–</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6B64EC" w:rsidP="001C4623">
            <w:pPr>
              <w:pStyle w:val="TableText"/>
            </w:pPr>
            <w:r>
              <w:t>1,259</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6B64EC" w:rsidP="001C4623">
            <w:pPr>
              <w:pStyle w:val="TableText"/>
            </w:pPr>
            <w:r>
              <w:t>79</w:t>
            </w:r>
          </w:p>
        </w:tc>
        <w:tc>
          <w:tcPr>
            <w:tcW w:w="639" w:type="pct"/>
            <w:tcBorders>
              <w:top w:val="nil"/>
              <w:left w:val="nil"/>
              <w:bottom w:val="single" w:sz="4" w:space="0" w:color="auto"/>
              <w:right w:val="single" w:sz="4" w:space="0" w:color="auto"/>
            </w:tcBorders>
            <w:shd w:val="clear" w:color="auto" w:fill="auto"/>
            <w:noWrap/>
            <w:vAlign w:val="center"/>
            <w:hideMark/>
          </w:tcPr>
          <w:p w:rsidR="00827253" w:rsidRPr="00C82C6B" w:rsidRDefault="00827253" w:rsidP="001C4623">
            <w:pPr>
              <w:pStyle w:val="TableText"/>
            </w:pPr>
            <w:r w:rsidRPr="00C82C6B">
              <w:t>6.3%</w:t>
            </w:r>
          </w:p>
        </w:tc>
      </w:tr>
      <w:tr w:rsidR="00827253" w:rsidRPr="00C82C6B" w:rsidTr="00C82C6B">
        <w:trPr>
          <w:trHeight w:val="300"/>
        </w:trPr>
        <w:tc>
          <w:tcPr>
            <w:tcW w:w="5000" w:type="pct"/>
            <w:gridSpan w:val="8"/>
            <w:tcBorders>
              <w:top w:val="single" w:sz="4" w:space="0" w:color="auto"/>
              <w:left w:val="nil"/>
              <w:bottom w:val="nil"/>
              <w:right w:val="nil"/>
            </w:tcBorders>
            <w:vAlign w:val="center"/>
            <w:hideMark/>
          </w:tcPr>
          <w:p w:rsidR="00827253" w:rsidRPr="00C82C6B" w:rsidRDefault="00827253" w:rsidP="00827253">
            <w:pPr>
              <w:spacing w:after="0" w:line="240" w:lineRule="auto"/>
              <w:rPr>
                <w:rFonts w:ascii="Calibri" w:eastAsia="Times New Roman" w:hAnsi="Calibri" w:cs="Calibri"/>
                <w:color w:val="0000FF"/>
                <w:sz w:val="20"/>
                <w:szCs w:val="20"/>
                <w:u w:val="single"/>
              </w:rPr>
            </w:pPr>
          </w:p>
        </w:tc>
      </w:tr>
    </w:tbl>
    <w:p w:rsidR="00352740" w:rsidRDefault="007F58A4" w:rsidP="00A160C2">
      <w:pPr>
        <w:pStyle w:val="BodyParagraph"/>
      </w:pPr>
      <w:r>
        <w:t xml:space="preserve">While CPP rates at all three utilities are conceptually similar, any </w:t>
      </w:r>
      <w:r w:rsidR="00B16F30">
        <w:t xml:space="preserve">cross-utility </w:t>
      </w:r>
      <w:r>
        <w:t xml:space="preserve">comparisons </w:t>
      </w:r>
      <w:r w:rsidR="00B16F30">
        <w:t xml:space="preserve">must </w:t>
      </w:r>
      <w:r w:rsidR="00F104F9">
        <w:t>be</w:t>
      </w:r>
      <w:r>
        <w:t xml:space="preserve"> made with caution due to differences in the rates</w:t>
      </w:r>
      <w:r w:rsidR="004F7A9D">
        <w:t>, event patterns, customer mix and penetration of other DR program</w:t>
      </w:r>
      <w:r w:rsidR="00850108">
        <w:t>s</w:t>
      </w:r>
      <w:r w:rsidR="004F7A9D">
        <w:t xml:space="preserve"> prior to implementation </w:t>
      </w:r>
      <w:r w:rsidR="008C347F">
        <w:t>of</w:t>
      </w:r>
      <w:r w:rsidR="004F7A9D">
        <w:t xml:space="preserve"> default CPP.  For example, PG&amp;E, SCE and SDG&amp;E called 9, 12 and 7 CPP events</w:t>
      </w:r>
      <w:r w:rsidR="008C347F">
        <w:t>,</w:t>
      </w:r>
      <w:r w:rsidR="004F7A9D">
        <w:t xml:space="preserve"> respectively.  However, CPP event prices were in effect at all three utilities </w:t>
      </w:r>
      <w:r w:rsidR="00850108">
        <w:t xml:space="preserve">simultaneously </w:t>
      </w:r>
      <w:r w:rsidR="004F7A9D">
        <w:t xml:space="preserve">only on August 9, 2012, because system conditions and weather patterns vary across all three utilities.  In addition, </w:t>
      </w:r>
      <w:r w:rsidR="007D7B3C">
        <w:t xml:space="preserve">SDG&amp;E </w:t>
      </w:r>
      <w:r w:rsidR="004F7A9D">
        <w:t xml:space="preserve">has a longer critical peak period </w:t>
      </w:r>
      <w:r w:rsidR="00CA470C">
        <w:t>–</w:t>
      </w:r>
      <w:r w:rsidR="004F7A9D">
        <w:t xml:space="preserve"> 11 PM to 6 PM </w:t>
      </w:r>
      <w:r w:rsidR="00CA470C">
        <w:t>–</w:t>
      </w:r>
      <w:r w:rsidR="004F7A9D">
        <w:t xml:space="preserve"> than PG&amp;E or SCE and also dispatches CPP on Saturday</w:t>
      </w:r>
      <w:r w:rsidR="007D7B3C">
        <w:t>s</w:t>
      </w:r>
      <w:r w:rsidR="004F7A9D">
        <w:t xml:space="preserve">, due to </w:t>
      </w:r>
      <w:r w:rsidR="007D7B3C">
        <w:t>its system load patterns</w:t>
      </w:r>
      <w:r w:rsidR="004F7A9D">
        <w:t>.</w:t>
      </w:r>
    </w:p>
    <w:p w:rsidR="0090561E" w:rsidRDefault="007F58A4" w:rsidP="007F58A4">
      <w:pPr>
        <w:pStyle w:val="BodyParagraph"/>
      </w:pPr>
      <w:r>
        <w:t xml:space="preserve">Enrollment by non-residential customers </w:t>
      </w:r>
      <w:r w:rsidR="00411399">
        <w:t>defaulted onto CPP rates was lower in</w:t>
      </w:r>
      <w:r>
        <w:t xml:space="preserve"> 2012 than</w:t>
      </w:r>
      <w:r w:rsidR="00411399">
        <w:t xml:space="preserve"> in</w:t>
      </w:r>
      <w:r>
        <w:t xml:space="preserve"> 2011 by</w:t>
      </w:r>
      <w:r w:rsidR="00F104F9">
        <w:t> </w:t>
      </w:r>
      <w:r>
        <w:t>approximately 10% across PG&amp;E, SCE and SDG&amp;E.</w:t>
      </w:r>
      <w:r w:rsidR="00411399">
        <w:rPr>
          <w:rStyle w:val="FootnoteReference"/>
        </w:rPr>
        <w:footnoteReference w:id="2"/>
      </w:r>
      <w:r>
        <w:t xml:space="preserve">  </w:t>
      </w:r>
      <w:r w:rsidR="007D7B3C">
        <w:t xml:space="preserve">The lower enrollment is reflected in the lower overall program loads without DR in place, referred to as reference loads.  </w:t>
      </w:r>
      <w:r w:rsidR="00026EBD">
        <w:t>Overall, approximately 5,20</w:t>
      </w:r>
      <w:r>
        <w:t>0 customers were enrolled on default CPP for the 2012 summer.  Despite the lower enrollment, the aggregate program impacts were similar to 2011 because customers remaining on the rate delivered higher percent demand reductions</w:t>
      </w:r>
      <w:r w:rsidR="0090561E">
        <w:t>.</w:t>
      </w:r>
    </w:p>
    <w:p w:rsidR="001E3B5B" w:rsidRDefault="006C2FEA">
      <w:pPr>
        <w:pStyle w:val="BodyParagraph"/>
      </w:pPr>
      <w:r>
        <w:t>Between 2011 and 2012, e</w:t>
      </w:r>
      <w:r w:rsidR="00411399">
        <w:t xml:space="preserve">nrollment in voluntary SMB rates at PG&amp;E grew </w:t>
      </w:r>
      <w:r w:rsidR="00411399" w:rsidRPr="001D0255">
        <w:t xml:space="preserve">from </w:t>
      </w:r>
      <w:r w:rsidR="001D0255" w:rsidRPr="001D0255">
        <w:t>79</w:t>
      </w:r>
      <w:r w:rsidR="00A42B55" w:rsidRPr="001D0255">
        <w:t xml:space="preserve"> service</w:t>
      </w:r>
      <w:r w:rsidR="00A42B55">
        <w:t xml:space="preserve"> accounts to nearly</w:t>
      </w:r>
      <w:r w:rsidR="00411399">
        <w:t xml:space="preserve"> 4,000 service accounts and remained constant for SCE at approximately </w:t>
      </w:r>
      <w:r w:rsidR="001D0255" w:rsidRPr="001D0255">
        <w:t>300</w:t>
      </w:r>
      <w:r w:rsidR="00411399">
        <w:t xml:space="preserve"> service accounts.  However, </w:t>
      </w:r>
      <w:r w:rsidR="008C347F">
        <w:t>o</w:t>
      </w:r>
      <w:r w:rsidR="00411399">
        <w:t xml:space="preserve">ver 95% of </w:t>
      </w:r>
      <w:r w:rsidR="00681EA7">
        <w:t xml:space="preserve">SMB </w:t>
      </w:r>
      <w:r w:rsidR="00411399">
        <w:t xml:space="preserve">accounts at both PG&amp;E and SCE are linked to </w:t>
      </w:r>
      <w:r w:rsidR="00DA5F7E">
        <w:t xml:space="preserve">a </w:t>
      </w:r>
      <w:r w:rsidR="00411399">
        <w:t>single entity, with service accounts across both territories</w:t>
      </w:r>
      <w:r w:rsidR="008C347F">
        <w:t xml:space="preserve">.  </w:t>
      </w:r>
      <w:r w:rsidR="00681EA7">
        <w:t>T</w:t>
      </w:r>
      <w:r w:rsidR="00994CEF">
        <w:t xml:space="preserve">he results are not </w:t>
      </w:r>
      <w:r w:rsidR="00681EA7">
        <w:t xml:space="preserve">representative </w:t>
      </w:r>
      <w:r w:rsidR="00994CEF">
        <w:t xml:space="preserve">of </w:t>
      </w:r>
      <w:r w:rsidR="00681EA7">
        <w:t xml:space="preserve">future </w:t>
      </w:r>
      <w:r w:rsidR="00994CEF">
        <w:t xml:space="preserve">demand response </w:t>
      </w:r>
      <w:r w:rsidR="00681EA7">
        <w:t>expected when SMB customer</w:t>
      </w:r>
      <w:r w:rsidR="0031055C">
        <w:t>s</w:t>
      </w:r>
      <w:r w:rsidR="00681EA7">
        <w:t xml:space="preserve"> are defaulted onto CPP</w:t>
      </w:r>
      <w:r w:rsidR="00411399">
        <w:t xml:space="preserve">. </w:t>
      </w:r>
    </w:p>
    <w:p w:rsidR="00176966" w:rsidRDefault="00176966" w:rsidP="00176966">
      <w:pPr>
        <w:pStyle w:val="TableFigureCaption"/>
        <w:spacing w:line="312" w:lineRule="auto"/>
        <w:jc w:val="left"/>
        <w:rPr>
          <w:rFonts w:ascii="Verdana" w:hAnsi="Verdana"/>
          <w:b w:val="0"/>
          <w:sz w:val="18"/>
          <w:szCs w:val="18"/>
        </w:rPr>
      </w:pPr>
      <w:r>
        <w:rPr>
          <w:rFonts w:ascii="Verdana" w:hAnsi="Verdana"/>
          <w:b w:val="0"/>
          <w:sz w:val="18"/>
          <w:szCs w:val="18"/>
        </w:rPr>
        <w:lastRenderedPageBreak/>
        <w:t>Table 1-2</w:t>
      </w:r>
      <w:r w:rsidRPr="005608E9">
        <w:rPr>
          <w:rFonts w:ascii="Verdana" w:hAnsi="Verdana"/>
          <w:b w:val="0"/>
          <w:sz w:val="18"/>
          <w:szCs w:val="18"/>
        </w:rPr>
        <w:t xml:space="preserve"> summarizes</w:t>
      </w:r>
      <w:r>
        <w:rPr>
          <w:rFonts w:ascii="Verdana" w:hAnsi="Verdana"/>
          <w:b w:val="0"/>
          <w:sz w:val="18"/>
          <w:szCs w:val="18"/>
        </w:rPr>
        <w:t xml:space="preserve"> PG&amp;E, SCE and SDG&amp;E ex ante load impacts</w:t>
      </w:r>
      <w:r w:rsidRPr="005608E9">
        <w:rPr>
          <w:rFonts w:ascii="Verdana" w:hAnsi="Verdana"/>
          <w:b w:val="0"/>
          <w:sz w:val="18"/>
          <w:szCs w:val="18"/>
        </w:rPr>
        <w:t xml:space="preserve"> </w:t>
      </w:r>
      <w:r>
        <w:rPr>
          <w:rFonts w:ascii="Verdana" w:hAnsi="Verdana"/>
          <w:b w:val="0"/>
          <w:sz w:val="18"/>
          <w:szCs w:val="18"/>
        </w:rPr>
        <w:t xml:space="preserve">for forecast years 2013 and 2023 under 1-in-2 weather conditions.  Enrollments, and consequently reference load, are forecast to increase substantially in the next </w:t>
      </w:r>
      <w:r w:rsidR="0031055C">
        <w:rPr>
          <w:rFonts w:ascii="Verdana" w:hAnsi="Verdana"/>
          <w:b w:val="0"/>
          <w:sz w:val="18"/>
          <w:szCs w:val="18"/>
        </w:rPr>
        <w:t xml:space="preserve">10 </w:t>
      </w:r>
      <w:r>
        <w:rPr>
          <w:rFonts w:ascii="Verdana" w:hAnsi="Verdana"/>
          <w:b w:val="0"/>
          <w:sz w:val="18"/>
          <w:szCs w:val="18"/>
        </w:rPr>
        <w:t xml:space="preserve">years as default CPP is introduced to medium C&amp;I customers. </w:t>
      </w:r>
      <w:r w:rsidRPr="00570588">
        <w:rPr>
          <w:rFonts w:ascii="Verdana" w:hAnsi="Verdana"/>
          <w:b w:val="0"/>
          <w:sz w:val="18"/>
          <w:szCs w:val="18"/>
        </w:rPr>
        <w:t xml:space="preserve">The magnitude of ex ante impacts from medium customers under default dynamic pricing is far less certain than it is for large customers. </w:t>
      </w:r>
      <w:r w:rsidR="0031055C">
        <w:rPr>
          <w:rFonts w:ascii="Verdana" w:hAnsi="Verdana"/>
          <w:b w:val="0"/>
          <w:sz w:val="18"/>
          <w:szCs w:val="18"/>
        </w:rPr>
        <w:t xml:space="preserve"> </w:t>
      </w:r>
      <w:r>
        <w:rPr>
          <w:rFonts w:ascii="Verdana" w:hAnsi="Verdana"/>
          <w:b w:val="0"/>
          <w:sz w:val="18"/>
          <w:szCs w:val="18"/>
        </w:rPr>
        <w:t>With the exception of few hundred customers at SDG&amp;E, n</w:t>
      </w:r>
      <w:r w:rsidRPr="00570588">
        <w:rPr>
          <w:rFonts w:ascii="Verdana" w:hAnsi="Verdana"/>
          <w:b w:val="0"/>
          <w:sz w:val="18"/>
          <w:szCs w:val="18"/>
        </w:rPr>
        <w:t>o utility in the U.S. has defaulted medium customers onto dynamic pricing tariffs</w:t>
      </w:r>
      <w:r>
        <w:rPr>
          <w:rFonts w:ascii="Verdana" w:hAnsi="Verdana"/>
          <w:b w:val="0"/>
          <w:sz w:val="18"/>
          <w:szCs w:val="18"/>
        </w:rPr>
        <w:t xml:space="preserve">.  Due to the limited empirical data, medium ex ante impact estimates should be interpreted with caution.  </w:t>
      </w:r>
    </w:p>
    <w:p w:rsidR="00176966" w:rsidRDefault="00176966" w:rsidP="00176966">
      <w:pPr>
        <w:pStyle w:val="TableFigureCaption"/>
      </w:pPr>
      <w:r w:rsidRPr="00352740">
        <w:t>Table 1-</w:t>
      </w:r>
      <w:r>
        <w:t>2</w:t>
      </w:r>
      <w:r w:rsidRPr="00352740">
        <w:t>: Summary of 201</w:t>
      </w:r>
      <w:r>
        <w:t>3 and 2023 Ex Ante Load Impacts</w:t>
      </w:r>
      <w:r>
        <w:br/>
        <w:t>1-in-2 Weather Conditions for August System Peak Day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6"/>
        <w:gridCol w:w="1117"/>
        <w:gridCol w:w="1117"/>
        <w:gridCol w:w="1557"/>
        <w:gridCol w:w="1557"/>
        <w:gridCol w:w="1557"/>
        <w:gridCol w:w="1555"/>
      </w:tblGrid>
      <w:tr w:rsidR="00176966" w:rsidRPr="005563B2" w:rsidTr="001C4623">
        <w:trPr>
          <w:trHeight w:val="615"/>
        </w:trPr>
        <w:tc>
          <w:tcPr>
            <w:tcW w:w="1116" w:type="dxa"/>
            <w:tcBorders>
              <w:right w:val="single" w:sz="4" w:space="0" w:color="FFFFFF" w:themeColor="background1"/>
            </w:tcBorders>
            <w:shd w:val="clear" w:color="000000" w:fill="1F497D"/>
            <w:noWrap/>
            <w:vAlign w:val="center"/>
            <w:hideMark/>
          </w:tcPr>
          <w:p w:rsidR="00176966" w:rsidRPr="005563B2" w:rsidRDefault="00176966" w:rsidP="00B81D97">
            <w:pPr>
              <w:spacing w:after="0" w:line="240" w:lineRule="auto"/>
              <w:jc w:val="center"/>
              <w:rPr>
                <w:rFonts w:ascii="Arial" w:eastAsia="Times New Roman" w:hAnsi="Arial" w:cs="Arial"/>
                <w:b/>
                <w:bCs/>
                <w:color w:val="FFFFFF"/>
                <w:sz w:val="18"/>
                <w:szCs w:val="18"/>
              </w:rPr>
            </w:pPr>
            <w:r w:rsidRPr="005563B2">
              <w:rPr>
                <w:rFonts w:ascii="Arial" w:eastAsia="Times New Roman" w:hAnsi="Arial" w:cs="Arial"/>
                <w:b/>
                <w:bCs/>
                <w:color w:val="FFFFFF"/>
                <w:sz w:val="18"/>
                <w:szCs w:val="18"/>
              </w:rPr>
              <w:t>Utility</w:t>
            </w:r>
          </w:p>
        </w:tc>
        <w:tc>
          <w:tcPr>
            <w:tcW w:w="1117" w:type="dxa"/>
            <w:tcBorders>
              <w:left w:val="single" w:sz="4" w:space="0" w:color="FFFFFF" w:themeColor="background1"/>
              <w:right w:val="single" w:sz="4" w:space="0" w:color="FFFFFF" w:themeColor="background1"/>
            </w:tcBorders>
            <w:shd w:val="clear" w:color="000000" w:fill="1F497D"/>
            <w:vAlign w:val="center"/>
            <w:hideMark/>
          </w:tcPr>
          <w:p w:rsidR="00176966" w:rsidRPr="005563B2" w:rsidRDefault="00176966" w:rsidP="00B81D97">
            <w:pPr>
              <w:spacing w:after="0" w:line="240" w:lineRule="auto"/>
              <w:jc w:val="center"/>
              <w:rPr>
                <w:rFonts w:ascii="Arial" w:eastAsia="Times New Roman" w:hAnsi="Arial" w:cs="Arial"/>
                <w:b/>
                <w:bCs/>
                <w:color w:val="FFFFFF"/>
                <w:sz w:val="18"/>
                <w:szCs w:val="18"/>
              </w:rPr>
            </w:pPr>
            <w:r w:rsidRPr="005563B2">
              <w:rPr>
                <w:rFonts w:ascii="Arial" w:eastAsia="Times New Roman" w:hAnsi="Arial" w:cs="Arial"/>
                <w:b/>
                <w:bCs/>
                <w:color w:val="FFFFFF"/>
                <w:sz w:val="18"/>
                <w:szCs w:val="18"/>
              </w:rPr>
              <w:t>Demand Size</w:t>
            </w:r>
          </w:p>
        </w:tc>
        <w:tc>
          <w:tcPr>
            <w:tcW w:w="1117" w:type="dxa"/>
            <w:tcBorders>
              <w:left w:val="single" w:sz="4" w:space="0" w:color="FFFFFF" w:themeColor="background1"/>
              <w:right w:val="single" w:sz="4" w:space="0" w:color="FFFFFF" w:themeColor="background1"/>
            </w:tcBorders>
            <w:shd w:val="clear" w:color="000000" w:fill="1F497D"/>
            <w:vAlign w:val="center"/>
            <w:hideMark/>
          </w:tcPr>
          <w:p w:rsidR="00176966" w:rsidRPr="005563B2" w:rsidRDefault="00176966" w:rsidP="00B81D97">
            <w:pPr>
              <w:spacing w:after="0" w:line="240" w:lineRule="auto"/>
              <w:jc w:val="center"/>
              <w:rPr>
                <w:rFonts w:ascii="Arial" w:eastAsia="Times New Roman" w:hAnsi="Arial" w:cs="Arial"/>
                <w:b/>
                <w:bCs/>
                <w:color w:val="FFFFFF"/>
                <w:sz w:val="18"/>
                <w:szCs w:val="18"/>
              </w:rPr>
            </w:pPr>
            <w:r w:rsidRPr="005563B2">
              <w:rPr>
                <w:rFonts w:ascii="Arial" w:eastAsia="Times New Roman" w:hAnsi="Arial" w:cs="Arial"/>
                <w:b/>
                <w:bCs/>
                <w:color w:val="FFFFFF"/>
                <w:sz w:val="18"/>
                <w:szCs w:val="18"/>
              </w:rPr>
              <w:t>Year</w:t>
            </w:r>
          </w:p>
        </w:tc>
        <w:tc>
          <w:tcPr>
            <w:tcW w:w="1557" w:type="dxa"/>
            <w:tcBorders>
              <w:left w:val="single" w:sz="4" w:space="0" w:color="FFFFFF" w:themeColor="background1"/>
              <w:right w:val="single" w:sz="4" w:space="0" w:color="FFFFFF" w:themeColor="background1"/>
            </w:tcBorders>
            <w:shd w:val="clear" w:color="000000" w:fill="1F497D"/>
            <w:vAlign w:val="center"/>
            <w:hideMark/>
          </w:tcPr>
          <w:p w:rsidR="00176966" w:rsidRPr="005563B2" w:rsidRDefault="00176966" w:rsidP="00B81D97">
            <w:pPr>
              <w:spacing w:after="0" w:line="240" w:lineRule="auto"/>
              <w:jc w:val="center"/>
              <w:rPr>
                <w:rFonts w:ascii="Arial" w:eastAsia="Times New Roman" w:hAnsi="Arial" w:cs="Arial"/>
                <w:b/>
                <w:bCs/>
                <w:color w:val="FFFFFF"/>
                <w:sz w:val="18"/>
                <w:szCs w:val="18"/>
              </w:rPr>
            </w:pPr>
            <w:r w:rsidRPr="005563B2">
              <w:rPr>
                <w:rFonts w:ascii="Arial" w:eastAsia="Times New Roman" w:hAnsi="Arial" w:cs="Arial"/>
                <w:b/>
                <w:bCs/>
                <w:color w:val="FFFFFF"/>
                <w:sz w:val="18"/>
                <w:szCs w:val="18"/>
              </w:rPr>
              <w:t>Enrollment Forecast</w:t>
            </w:r>
          </w:p>
        </w:tc>
        <w:tc>
          <w:tcPr>
            <w:tcW w:w="1557" w:type="dxa"/>
            <w:tcBorders>
              <w:left w:val="single" w:sz="4" w:space="0" w:color="FFFFFF" w:themeColor="background1"/>
              <w:right w:val="single" w:sz="4" w:space="0" w:color="FFFFFF" w:themeColor="background1"/>
            </w:tcBorders>
            <w:shd w:val="clear" w:color="000000" w:fill="1F497D"/>
            <w:vAlign w:val="center"/>
            <w:hideMark/>
          </w:tcPr>
          <w:p w:rsidR="00176966" w:rsidRPr="005563B2" w:rsidRDefault="00176966" w:rsidP="00B81D97">
            <w:pPr>
              <w:spacing w:after="0" w:line="240" w:lineRule="auto"/>
              <w:jc w:val="center"/>
              <w:rPr>
                <w:rFonts w:ascii="Arial" w:eastAsia="Times New Roman" w:hAnsi="Arial" w:cs="Arial"/>
                <w:b/>
                <w:bCs/>
                <w:color w:val="FFFFFF"/>
                <w:sz w:val="18"/>
                <w:szCs w:val="18"/>
              </w:rPr>
            </w:pPr>
            <w:r w:rsidRPr="005563B2">
              <w:rPr>
                <w:rFonts w:ascii="Arial" w:eastAsia="Times New Roman" w:hAnsi="Arial" w:cs="Arial"/>
                <w:b/>
                <w:bCs/>
                <w:color w:val="FFFFFF"/>
                <w:sz w:val="18"/>
                <w:szCs w:val="18"/>
              </w:rPr>
              <w:t>Reference Load (MW)</w:t>
            </w:r>
          </w:p>
        </w:tc>
        <w:tc>
          <w:tcPr>
            <w:tcW w:w="1557" w:type="dxa"/>
            <w:tcBorders>
              <w:left w:val="single" w:sz="4" w:space="0" w:color="FFFFFF" w:themeColor="background1"/>
              <w:right w:val="single" w:sz="4" w:space="0" w:color="FFFFFF" w:themeColor="background1"/>
            </w:tcBorders>
            <w:shd w:val="clear" w:color="000000" w:fill="1F497D"/>
            <w:vAlign w:val="center"/>
            <w:hideMark/>
          </w:tcPr>
          <w:p w:rsidR="00176966" w:rsidRPr="005563B2" w:rsidRDefault="00176966" w:rsidP="00B81D97">
            <w:pPr>
              <w:spacing w:after="0" w:line="240" w:lineRule="auto"/>
              <w:jc w:val="center"/>
              <w:rPr>
                <w:rFonts w:ascii="Arial" w:eastAsia="Times New Roman" w:hAnsi="Arial" w:cs="Arial"/>
                <w:b/>
                <w:bCs/>
                <w:color w:val="FFFFFF"/>
                <w:sz w:val="18"/>
                <w:szCs w:val="18"/>
              </w:rPr>
            </w:pPr>
            <w:r w:rsidRPr="005563B2">
              <w:rPr>
                <w:rFonts w:ascii="Arial" w:eastAsia="Times New Roman" w:hAnsi="Arial" w:cs="Arial"/>
                <w:b/>
                <w:bCs/>
                <w:color w:val="FFFFFF"/>
                <w:sz w:val="18"/>
                <w:szCs w:val="18"/>
              </w:rPr>
              <w:t>Load Impact (MW)</w:t>
            </w:r>
          </w:p>
        </w:tc>
        <w:tc>
          <w:tcPr>
            <w:tcW w:w="1555" w:type="dxa"/>
            <w:tcBorders>
              <w:left w:val="single" w:sz="4" w:space="0" w:color="FFFFFF" w:themeColor="background1"/>
            </w:tcBorders>
            <w:shd w:val="clear" w:color="000000" w:fill="1F497D"/>
            <w:vAlign w:val="center"/>
            <w:hideMark/>
          </w:tcPr>
          <w:p w:rsidR="00176966" w:rsidRPr="005563B2" w:rsidRDefault="00176966" w:rsidP="00B81D97">
            <w:pPr>
              <w:spacing w:after="0" w:line="240" w:lineRule="auto"/>
              <w:jc w:val="center"/>
              <w:rPr>
                <w:rFonts w:ascii="Arial" w:eastAsia="Times New Roman" w:hAnsi="Arial" w:cs="Arial"/>
                <w:b/>
                <w:bCs/>
                <w:color w:val="FFFFFF"/>
                <w:sz w:val="18"/>
                <w:szCs w:val="18"/>
              </w:rPr>
            </w:pPr>
            <w:r w:rsidRPr="005563B2">
              <w:rPr>
                <w:rFonts w:ascii="Arial" w:eastAsia="Times New Roman" w:hAnsi="Arial" w:cs="Arial"/>
                <w:b/>
                <w:bCs/>
                <w:color w:val="FFFFFF"/>
                <w:sz w:val="18"/>
                <w:szCs w:val="18"/>
              </w:rPr>
              <w:t>Percent Impact (%)</w:t>
            </w:r>
          </w:p>
        </w:tc>
      </w:tr>
      <w:tr w:rsidR="00176966" w:rsidRPr="005563B2" w:rsidTr="001C4623">
        <w:trPr>
          <w:trHeight w:val="315"/>
        </w:trPr>
        <w:tc>
          <w:tcPr>
            <w:tcW w:w="1116" w:type="dxa"/>
            <w:vMerge w:val="restart"/>
            <w:shd w:val="clear" w:color="000000" w:fill="FFFFFF"/>
            <w:vAlign w:val="center"/>
            <w:hideMark/>
          </w:tcPr>
          <w:p w:rsidR="00176966" w:rsidRDefault="00176966" w:rsidP="00B81D97">
            <w:pPr>
              <w:spacing w:after="0" w:line="240" w:lineRule="auto"/>
              <w:jc w:val="center"/>
              <w:rPr>
                <w:rFonts w:ascii="Arial" w:eastAsia="Times New Roman" w:hAnsi="Arial" w:cs="Arial"/>
                <w:b/>
                <w:bCs/>
                <w:color w:val="000000"/>
                <w:sz w:val="18"/>
                <w:szCs w:val="18"/>
              </w:rPr>
            </w:pPr>
            <w:r w:rsidRPr="005563B2">
              <w:rPr>
                <w:rFonts w:ascii="Arial" w:eastAsia="Times New Roman" w:hAnsi="Arial" w:cs="Arial"/>
                <w:b/>
                <w:bCs/>
                <w:color w:val="000000"/>
                <w:sz w:val="18"/>
                <w:szCs w:val="18"/>
              </w:rPr>
              <w:t>PG&amp;E</w:t>
            </w:r>
          </w:p>
          <w:p w:rsidR="00176966" w:rsidRPr="005563B2" w:rsidRDefault="00176966" w:rsidP="00B81D97">
            <w:pPr>
              <w:spacing w:after="0" w:line="240" w:lineRule="auto"/>
              <w:jc w:val="center"/>
              <w:rPr>
                <w:rFonts w:ascii="Arial" w:eastAsia="Times New Roman" w:hAnsi="Arial" w:cs="Arial"/>
                <w:b/>
                <w:bCs/>
                <w:color w:val="000000"/>
                <w:sz w:val="18"/>
                <w:szCs w:val="18"/>
              </w:rPr>
            </w:pPr>
            <w:r>
              <w:rPr>
                <w:rFonts w:ascii="Arial" w:eastAsia="Times New Roman" w:hAnsi="Arial" w:cs="Arial"/>
                <w:b/>
                <w:bCs/>
                <w:color w:val="000000"/>
                <w:sz w:val="18"/>
                <w:szCs w:val="18"/>
              </w:rPr>
              <w:t>(1</w:t>
            </w:r>
            <w:r w:rsidR="00502446">
              <w:rPr>
                <w:rFonts w:ascii="Arial" w:eastAsia="Times New Roman" w:hAnsi="Arial" w:cs="Arial"/>
                <w:b/>
                <w:bCs/>
                <w:color w:val="000000"/>
                <w:sz w:val="18"/>
                <w:szCs w:val="18"/>
              </w:rPr>
              <w:t>–</w:t>
            </w:r>
            <w:r>
              <w:rPr>
                <w:rFonts w:ascii="Arial" w:eastAsia="Times New Roman" w:hAnsi="Arial" w:cs="Arial"/>
                <w:b/>
                <w:bCs/>
                <w:color w:val="000000"/>
                <w:sz w:val="18"/>
                <w:szCs w:val="18"/>
              </w:rPr>
              <w:t>6 PM)</w:t>
            </w:r>
          </w:p>
        </w:tc>
        <w:tc>
          <w:tcPr>
            <w:tcW w:w="1117" w:type="dxa"/>
            <w:vMerge w:val="restart"/>
            <w:shd w:val="clear" w:color="000000" w:fill="FFFFFF"/>
            <w:vAlign w:val="center"/>
            <w:hideMark/>
          </w:tcPr>
          <w:p w:rsidR="00176966" w:rsidRPr="005563B2" w:rsidRDefault="00176966" w:rsidP="00B81D97">
            <w:pPr>
              <w:spacing w:after="0" w:line="240" w:lineRule="auto"/>
              <w:jc w:val="center"/>
              <w:rPr>
                <w:rFonts w:ascii="Arial" w:eastAsia="Times New Roman" w:hAnsi="Arial" w:cs="Arial"/>
                <w:b/>
                <w:bCs/>
                <w:color w:val="000000"/>
                <w:sz w:val="18"/>
                <w:szCs w:val="18"/>
              </w:rPr>
            </w:pPr>
            <w:r w:rsidRPr="005563B2">
              <w:rPr>
                <w:rFonts w:ascii="Arial" w:eastAsia="Times New Roman" w:hAnsi="Arial" w:cs="Arial"/>
                <w:b/>
                <w:bCs/>
                <w:color w:val="000000"/>
                <w:sz w:val="18"/>
                <w:szCs w:val="18"/>
              </w:rPr>
              <w:t>Large</w:t>
            </w: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2013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1,401</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519</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40.4</w:t>
            </w:r>
          </w:p>
        </w:tc>
        <w:tc>
          <w:tcPr>
            <w:tcW w:w="1555"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7.8%</w:t>
            </w:r>
          </w:p>
        </w:tc>
      </w:tr>
      <w:tr w:rsidR="00176966" w:rsidRPr="005563B2" w:rsidTr="001C4623">
        <w:trPr>
          <w:trHeight w:val="315"/>
        </w:trPr>
        <w:tc>
          <w:tcPr>
            <w:tcW w:w="1116"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2023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1,825</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632</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50.5</w:t>
            </w:r>
          </w:p>
        </w:tc>
        <w:tc>
          <w:tcPr>
            <w:tcW w:w="1555"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8.0%</w:t>
            </w:r>
          </w:p>
        </w:tc>
      </w:tr>
      <w:tr w:rsidR="00176966" w:rsidRPr="005563B2" w:rsidTr="001C4623">
        <w:trPr>
          <w:trHeight w:val="315"/>
        </w:trPr>
        <w:tc>
          <w:tcPr>
            <w:tcW w:w="1116"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vMerge w:val="restart"/>
            <w:shd w:val="clear" w:color="000000" w:fill="FFFFFF"/>
            <w:vAlign w:val="center"/>
            <w:hideMark/>
          </w:tcPr>
          <w:p w:rsidR="00176966" w:rsidRPr="005563B2" w:rsidRDefault="00176966" w:rsidP="00B81D97">
            <w:pPr>
              <w:spacing w:after="0" w:line="240" w:lineRule="auto"/>
              <w:jc w:val="center"/>
              <w:rPr>
                <w:rFonts w:ascii="Arial" w:eastAsia="Times New Roman" w:hAnsi="Arial" w:cs="Arial"/>
                <w:b/>
                <w:bCs/>
                <w:color w:val="000000"/>
                <w:sz w:val="18"/>
                <w:szCs w:val="18"/>
              </w:rPr>
            </w:pPr>
            <w:r w:rsidRPr="005563B2">
              <w:rPr>
                <w:rFonts w:ascii="Arial" w:eastAsia="Times New Roman" w:hAnsi="Arial" w:cs="Arial"/>
                <w:b/>
                <w:bCs/>
                <w:color w:val="000000"/>
                <w:sz w:val="18"/>
                <w:szCs w:val="18"/>
              </w:rPr>
              <w:t>Medium</w:t>
            </w: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2013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228</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0.9</w:t>
            </w:r>
          </w:p>
        </w:tc>
        <w:tc>
          <w:tcPr>
            <w:tcW w:w="1555"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4.0%</w:t>
            </w:r>
          </w:p>
        </w:tc>
      </w:tr>
      <w:tr w:rsidR="00176966" w:rsidRPr="005563B2" w:rsidTr="001C4623">
        <w:trPr>
          <w:trHeight w:val="315"/>
        </w:trPr>
        <w:tc>
          <w:tcPr>
            <w:tcW w:w="1116"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2023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29,576</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1,058</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64.2</w:t>
            </w:r>
          </w:p>
        </w:tc>
        <w:tc>
          <w:tcPr>
            <w:tcW w:w="1555"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6.1%</w:t>
            </w:r>
          </w:p>
        </w:tc>
      </w:tr>
      <w:tr w:rsidR="00176966" w:rsidRPr="005563B2" w:rsidTr="001C4623">
        <w:trPr>
          <w:trHeight w:val="315"/>
        </w:trPr>
        <w:tc>
          <w:tcPr>
            <w:tcW w:w="1116" w:type="dxa"/>
            <w:vMerge w:val="restart"/>
            <w:shd w:val="clear" w:color="000000" w:fill="FFFFFF"/>
            <w:noWrap/>
            <w:vAlign w:val="center"/>
            <w:hideMark/>
          </w:tcPr>
          <w:p w:rsidR="00176966" w:rsidRDefault="00176966" w:rsidP="00B81D97">
            <w:pPr>
              <w:spacing w:after="0" w:line="240" w:lineRule="auto"/>
              <w:jc w:val="center"/>
              <w:rPr>
                <w:rFonts w:ascii="Arial" w:eastAsia="Times New Roman" w:hAnsi="Arial" w:cs="Arial"/>
                <w:b/>
                <w:bCs/>
                <w:color w:val="000000"/>
                <w:sz w:val="18"/>
                <w:szCs w:val="18"/>
              </w:rPr>
            </w:pPr>
            <w:r w:rsidRPr="005563B2">
              <w:rPr>
                <w:rFonts w:ascii="Arial" w:eastAsia="Times New Roman" w:hAnsi="Arial" w:cs="Arial"/>
                <w:b/>
                <w:bCs/>
                <w:color w:val="000000"/>
                <w:sz w:val="18"/>
                <w:szCs w:val="18"/>
              </w:rPr>
              <w:t>SCE</w:t>
            </w:r>
          </w:p>
          <w:p w:rsidR="00176966" w:rsidRPr="005563B2" w:rsidRDefault="00176966" w:rsidP="00B81D97">
            <w:pPr>
              <w:spacing w:after="0" w:line="240" w:lineRule="auto"/>
              <w:jc w:val="center"/>
              <w:rPr>
                <w:rFonts w:ascii="Arial" w:eastAsia="Times New Roman" w:hAnsi="Arial" w:cs="Arial"/>
                <w:b/>
                <w:bCs/>
                <w:color w:val="000000"/>
                <w:sz w:val="18"/>
                <w:szCs w:val="18"/>
              </w:rPr>
            </w:pPr>
            <w:r>
              <w:rPr>
                <w:rFonts w:ascii="Arial" w:eastAsia="Times New Roman" w:hAnsi="Arial" w:cs="Arial"/>
                <w:b/>
                <w:bCs/>
                <w:color w:val="000000"/>
                <w:sz w:val="18"/>
                <w:szCs w:val="18"/>
              </w:rPr>
              <w:t>(1</w:t>
            </w:r>
            <w:r w:rsidR="00502446">
              <w:rPr>
                <w:rFonts w:ascii="Arial" w:eastAsia="Times New Roman" w:hAnsi="Arial" w:cs="Arial"/>
                <w:b/>
                <w:bCs/>
                <w:color w:val="000000"/>
                <w:sz w:val="18"/>
                <w:szCs w:val="18"/>
              </w:rPr>
              <w:t>–</w:t>
            </w:r>
            <w:r>
              <w:rPr>
                <w:rFonts w:ascii="Arial" w:eastAsia="Times New Roman" w:hAnsi="Arial" w:cs="Arial"/>
                <w:b/>
                <w:bCs/>
                <w:color w:val="000000"/>
                <w:sz w:val="18"/>
                <w:szCs w:val="18"/>
              </w:rPr>
              <w:t>6 PM)</w:t>
            </w:r>
          </w:p>
        </w:tc>
        <w:tc>
          <w:tcPr>
            <w:tcW w:w="1117" w:type="dxa"/>
            <w:vMerge w:val="restart"/>
            <w:shd w:val="clear" w:color="000000" w:fill="FFFFFF"/>
            <w:vAlign w:val="center"/>
            <w:hideMark/>
          </w:tcPr>
          <w:p w:rsidR="00176966" w:rsidRPr="005563B2" w:rsidRDefault="00176966" w:rsidP="00B81D97">
            <w:pPr>
              <w:spacing w:after="0" w:line="240" w:lineRule="auto"/>
              <w:jc w:val="center"/>
              <w:rPr>
                <w:rFonts w:ascii="Arial" w:eastAsia="Times New Roman" w:hAnsi="Arial" w:cs="Arial"/>
                <w:b/>
                <w:bCs/>
                <w:color w:val="000000"/>
                <w:sz w:val="18"/>
                <w:szCs w:val="18"/>
              </w:rPr>
            </w:pPr>
            <w:r w:rsidRPr="005563B2">
              <w:rPr>
                <w:rFonts w:ascii="Arial" w:eastAsia="Times New Roman" w:hAnsi="Arial" w:cs="Arial"/>
                <w:b/>
                <w:bCs/>
                <w:color w:val="000000"/>
                <w:sz w:val="18"/>
                <w:szCs w:val="18"/>
              </w:rPr>
              <w:t>Large</w:t>
            </w: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2013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3,068</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683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31.2</w:t>
            </w:r>
          </w:p>
        </w:tc>
        <w:tc>
          <w:tcPr>
            <w:tcW w:w="1555"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4.6%</w:t>
            </w:r>
          </w:p>
        </w:tc>
      </w:tr>
      <w:tr w:rsidR="00176966" w:rsidRPr="005563B2" w:rsidTr="001C4623">
        <w:trPr>
          <w:trHeight w:val="315"/>
        </w:trPr>
        <w:tc>
          <w:tcPr>
            <w:tcW w:w="1116"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2023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3,141</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699</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32.0</w:t>
            </w:r>
          </w:p>
        </w:tc>
        <w:tc>
          <w:tcPr>
            <w:tcW w:w="1555"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4.6%</w:t>
            </w:r>
          </w:p>
        </w:tc>
      </w:tr>
      <w:tr w:rsidR="00176966" w:rsidRPr="005563B2" w:rsidTr="001C4623">
        <w:trPr>
          <w:trHeight w:val="315"/>
        </w:trPr>
        <w:tc>
          <w:tcPr>
            <w:tcW w:w="1116"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vMerge w:val="restart"/>
            <w:shd w:val="clear" w:color="000000" w:fill="FFFFFF"/>
            <w:vAlign w:val="center"/>
            <w:hideMark/>
          </w:tcPr>
          <w:p w:rsidR="00176966" w:rsidRPr="005563B2" w:rsidRDefault="00176966" w:rsidP="00B81D97">
            <w:pPr>
              <w:spacing w:after="0" w:line="240" w:lineRule="auto"/>
              <w:jc w:val="center"/>
              <w:rPr>
                <w:rFonts w:ascii="Arial" w:eastAsia="Times New Roman" w:hAnsi="Arial" w:cs="Arial"/>
                <w:b/>
                <w:bCs/>
                <w:color w:val="000000"/>
                <w:sz w:val="18"/>
                <w:szCs w:val="18"/>
              </w:rPr>
            </w:pPr>
            <w:r w:rsidRPr="005563B2">
              <w:rPr>
                <w:rFonts w:ascii="Arial" w:eastAsia="Times New Roman" w:hAnsi="Arial" w:cs="Arial"/>
                <w:b/>
                <w:bCs/>
                <w:color w:val="000000"/>
                <w:sz w:val="18"/>
                <w:szCs w:val="18"/>
              </w:rPr>
              <w:t>Medium</w:t>
            </w: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2013</w:t>
            </w:r>
          </w:p>
        </w:tc>
        <w:tc>
          <w:tcPr>
            <w:tcW w:w="1557" w:type="dxa"/>
            <w:shd w:val="clear" w:color="auto" w:fill="auto"/>
            <w:noWrap/>
            <w:vAlign w:val="center"/>
            <w:hideMark/>
          </w:tcPr>
          <w:p w:rsidR="00176966" w:rsidRPr="005563B2" w:rsidRDefault="00502446"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w:t>
            </w:r>
          </w:p>
        </w:tc>
        <w:tc>
          <w:tcPr>
            <w:tcW w:w="1557" w:type="dxa"/>
            <w:shd w:val="clear" w:color="auto" w:fill="auto"/>
            <w:noWrap/>
            <w:vAlign w:val="center"/>
            <w:hideMark/>
          </w:tcPr>
          <w:p w:rsidR="00176966" w:rsidRPr="005563B2" w:rsidRDefault="00502446"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w:t>
            </w:r>
          </w:p>
        </w:tc>
        <w:tc>
          <w:tcPr>
            <w:tcW w:w="1557" w:type="dxa"/>
            <w:shd w:val="clear" w:color="auto" w:fill="auto"/>
            <w:noWrap/>
            <w:vAlign w:val="center"/>
            <w:hideMark/>
          </w:tcPr>
          <w:p w:rsidR="00176966" w:rsidRPr="005563B2" w:rsidRDefault="00502446"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w:t>
            </w:r>
          </w:p>
        </w:tc>
        <w:tc>
          <w:tcPr>
            <w:tcW w:w="1555"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 xml:space="preserve"> </w:t>
            </w:r>
            <w:r w:rsidR="00502446">
              <w:rPr>
                <w:rFonts w:ascii="Arial" w:eastAsia="Times New Roman" w:hAnsi="Arial" w:cs="Arial"/>
                <w:color w:val="000000"/>
                <w:sz w:val="18"/>
                <w:szCs w:val="18"/>
              </w:rPr>
              <w:t>–</w:t>
            </w:r>
            <w:r w:rsidRPr="005563B2">
              <w:rPr>
                <w:rFonts w:ascii="Arial" w:eastAsia="Times New Roman" w:hAnsi="Arial" w:cs="Arial"/>
                <w:color w:val="000000"/>
                <w:sz w:val="18"/>
                <w:szCs w:val="18"/>
              </w:rPr>
              <w:t xml:space="preserve"> </w:t>
            </w:r>
          </w:p>
        </w:tc>
      </w:tr>
      <w:tr w:rsidR="00176966" w:rsidRPr="005563B2" w:rsidTr="001C4623">
        <w:trPr>
          <w:trHeight w:val="315"/>
        </w:trPr>
        <w:tc>
          <w:tcPr>
            <w:tcW w:w="1116"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2023</w:t>
            </w:r>
          </w:p>
        </w:tc>
        <w:tc>
          <w:tcPr>
            <w:tcW w:w="1557" w:type="dxa"/>
            <w:shd w:val="clear" w:color="auto" w:fill="auto"/>
            <w:noWrap/>
            <w:vAlign w:val="center"/>
            <w:hideMark/>
          </w:tcPr>
          <w:p w:rsidR="00176966" w:rsidRPr="005563B2" w:rsidRDefault="00502446"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w:t>
            </w:r>
          </w:p>
        </w:tc>
        <w:tc>
          <w:tcPr>
            <w:tcW w:w="1557" w:type="dxa"/>
            <w:shd w:val="clear" w:color="auto" w:fill="auto"/>
            <w:noWrap/>
            <w:vAlign w:val="center"/>
            <w:hideMark/>
          </w:tcPr>
          <w:p w:rsidR="00176966" w:rsidRPr="005563B2" w:rsidRDefault="00502446"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w:t>
            </w:r>
          </w:p>
        </w:tc>
        <w:tc>
          <w:tcPr>
            <w:tcW w:w="1557" w:type="dxa"/>
            <w:shd w:val="clear" w:color="auto" w:fill="auto"/>
            <w:noWrap/>
            <w:vAlign w:val="center"/>
            <w:hideMark/>
          </w:tcPr>
          <w:p w:rsidR="00176966" w:rsidRPr="005563B2" w:rsidRDefault="00502446"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w:t>
            </w:r>
          </w:p>
        </w:tc>
        <w:tc>
          <w:tcPr>
            <w:tcW w:w="1555"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 xml:space="preserve"> </w:t>
            </w:r>
            <w:r w:rsidR="00502446">
              <w:rPr>
                <w:rFonts w:ascii="Arial" w:eastAsia="Times New Roman" w:hAnsi="Arial" w:cs="Arial"/>
                <w:color w:val="000000"/>
                <w:sz w:val="18"/>
                <w:szCs w:val="18"/>
              </w:rPr>
              <w:t>–</w:t>
            </w:r>
            <w:r w:rsidRPr="005563B2">
              <w:rPr>
                <w:rFonts w:ascii="Arial" w:eastAsia="Times New Roman" w:hAnsi="Arial" w:cs="Arial"/>
                <w:color w:val="000000"/>
                <w:sz w:val="18"/>
                <w:szCs w:val="18"/>
              </w:rPr>
              <w:t xml:space="preserve"> </w:t>
            </w:r>
          </w:p>
        </w:tc>
      </w:tr>
      <w:tr w:rsidR="00176966" w:rsidRPr="005563B2" w:rsidTr="001C4623">
        <w:trPr>
          <w:trHeight w:val="315"/>
        </w:trPr>
        <w:tc>
          <w:tcPr>
            <w:tcW w:w="1116" w:type="dxa"/>
            <w:vMerge w:val="restart"/>
            <w:shd w:val="clear" w:color="000000" w:fill="FFFFFF"/>
            <w:noWrap/>
            <w:vAlign w:val="center"/>
            <w:hideMark/>
          </w:tcPr>
          <w:p w:rsidR="00176966" w:rsidRDefault="00176966" w:rsidP="00B81D97">
            <w:pPr>
              <w:spacing w:after="0" w:line="240" w:lineRule="auto"/>
              <w:jc w:val="center"/>
              <w:rPr>
                <w:rFonts w:ascii="Arial" w:eastAsia="Times New Roman" w:hAnsi="Arial" w:cs="Arial"/>
                <w:b/>
                <w:bCs/>
                <w:color w:val="000000"/>
                <w:sz w:val="18"/>
                <w:szCs w:val="18"/>
              </w:rPr>
            </w:pPr>
            <w:r w:rsidRPr="005563B2">
              <w:rPr>
                <w:rFonts w:ascii="Arial" w:eastAsia="Times New Roman" w:hAnsi="Arial" w:cs="Arial"/>
                <w:b/>
                <w:bCs/>
                <w:color w:val="000000"/>
                <w:sz w:val="18"/>
                <w:szCs w:val="18"/>
              </w:rPr>
              <w:t>SDG&amp;E</w:t>
            </w:r>
          </w:p>
          <w:p w:rsidR="00874CA9" w:rsidRDefault="00176966">
            <w:pPr>
              <w:spacing w:after="0" w:line="240" w:lineRule="auto"/>
              <w:jc w:val="center"/>
              <w:rPr>
                <w:rFonts w:ascii="Arial" w:eastAsia="Times New Roman" w:hAnsi="Arial" w:cs="Arial"/>
                <w:b/>
                <w:bCs/>
                <w:color w:val="000000"/>
                <w:sz w:val="18"/>
                <w:szCs w:val="18"/>
              </w:rPr>
            </w:pPr>
            <w:r>
              <w:rPr>
                <w:rFonts w:ascii="Arial" w:eastAsia="Times New Roman" w:hAnsi="Arial" w:cs="Arial"/>
                <w:b/>
                <w:bCs/>
                <w:color w:val="000000"/>
                <w:sz w:val="18"/>
                <w:szCs w:val="18"/>
              </w:rPr>
              <w:t>(11 AM – 6</w:t>
            </w:r>
            <w:r w:rsidR="0031055C">
              <w:rPr>
                <w:rFonts w:ascii="Arial" w:eastAsia="Times New Roman" w:hAnsi="Arial" w:cs="Arial"/>
                <w:b/>
                <w:bCs/>
                <w:color w:val="000000"/>
                <w:sz w:val="18"/>
                <w:szCs w:val="18"/>
              </w:rPr>
              <w:t> </w:t>
            </w:r>
            <w:r>
              <w:rPr>
                <w:rFonts w:ascii="Arial" w:eastAsia="Times New Roman" w:hAnsi="Arial" w:cs="Arial"/>
                <w:b/>
                <w:bCs/>
                <w:color w:val="000000"/>
                <w:sz w:val="18"/>
                <w:szCs w:val="18"/>
              </w:rPr>
              <w:t>PM)</w:t>
            </w:r>
          </w:p>
        </w:tc>
        <w:tc>
          <w:tcPr>
            <w:tcW w:w="1117" w:type="dxa"/>
            <w:vMerge w:val="restart"/>
            <w:shd w:val="clear" w:color="000000" w:fill="FFFFFF"/>
            <w:vAlign w:val="center"/>
            <w:hideMark/>
          </w:tcPr>
          <w:p w:rsidR="00176966" w:rsidRPr="005563B2" w:rsidRDefault="00176966" w:rsidP="00B81D97">
            <w:pPr>
              <w:spacing w:after="0" w:line="240" w:lineRule="auto"/>
              <w:jc w:val="center"/>
              <w:rPr>
                <w:rFonts w:ascii="Arial" w:eastAsia="Times New Roman" w:hAnsi="Arial" w:cs="Arial"/>
                <w:b/>
                <w:bCs/>
                <w:color w:val="000000"/>
                <w:sz w:val="18"/>
                <w:szCs w:val="18"/>
              </w:rPr>
            </w:pPr>
            <w:r w:rsidRPr="005563B2">
              <w:rPr>
                <w:rFonts w:ascii="Arial" w:eastAsia="Times New Roman" w:hAnsi="Arial" w:cs="Arial"/>
                <w:b/>
                <w:bCs/>
                <w:color w:val="000000"/>
                <w:sz w:val="18"/>
                <w:szCs w:val="18"/>
              </w:rPr>
              <w:t>Large</w:t>
            </w: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2013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1,083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282</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16.7</w:t>
            </w:r>
          </w:p>
        </w:tc>
        <w:tc>
          <w:tcPr>
            <w:tcW w:w="1555"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5.9%</w:t>
            </w:r>
          </w:p>
        </w:tc>
      </w:tr>
      <w:tr w:rsidR="00176966" w:rsidRPr="005563B2" w:rsidTr="001C4623">
        <w:trPr>
          <w:trHeight w:val="315"/>
        </w:trPr>
        <w:tc>
          <w:tcPr>
            <w:tcW w:w="1116"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2023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1,242</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323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19.1</w:t>
            </w:r>
          </w:p>
        </w:tc>
        <w:tc>
          <w:tcPr>
            <w:tcW w:w="1555"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5.9%</w:t>
            </w:r>
          </w:p>
        </w:tc>
      </w:tr>
      <w:tr w:rsidR="00176966" w:rsidRPr="005563B2" w:rsidTr="001C4623">
        <w:trPr>
          <w:trHeight w:val="315"/>
        </w:trPr>
        <w:tc>
          <w:tcPr>
            <w:tcW w:w="1116"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vMerge w:val="restart"/>
            <w:shd w:val="clear" w:color="000000" w:fill="FFFFFF"/>
            <w:vAlign w:val="center"/>
            <w:hideMark/>
          </w:tcPr>
          <w:p w:rsidR="00176966" w:rsidRPr="005563B2" w:rsidRDefault="00176966" w:rsidP="00B81D97">
            <w:pPr>
              <w:spacing w:after="0" w:line="240" w:lineRule="auto"/>
              <w:jc w:val="center"/>
              <w:rPr>
                <w:rFonts w:ascii="Arial" w:eastAsia="Times New Roman" w:hAnsi="Arial" w:cs="Arial"/>
                <w:b/>
                <w:bCs/>
                <w:color w:val="000000"/>
                <w:sz w:val="18"/>
                <w:szCs w:val="18"/>
              </w:rPr>
            </w:pPr>
            <w:r w:rsidRPr="005563B2">
              <w:rPr>
                <w:rFonts w:ascii="Arial" w:eastAsia="Times New Roman" w:hAnsi="Arial" w:cs="Arial"/>
                <w:b/>
                <w:bCs/>
                <w:color w:val="000000"/>
                <w:sz w:val="18"/>
                <w:szCs w:val="18"/>
              </w:rPr>
              <w:t>Medium</w:t>
            </w: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2013</w:t>
            </w:r>
          </w:p>
        </w:tc>
        <w:tc>
          <w:tcPr>
            <w:tcW w:w="1557" w:type="dxa"/>
            <w:shd w:val="clear" w:color="auto" w:fill="auto"/>
            <w:noWrap/>
            <w:vAlign w:val="center"/>
            <w:hideMark/>
          </w:tcPr>
          <w:p w:rsidR="00176966" w:rsidRPr="005563B2" w:rsidRDefault="00502446"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w:t>
            </w:r>
          </w:p>
        </w:tc>
        <w:tc>
          <w:tcPr>
            <w:tcW w:w="1557" w:type="dxa"/>
            <w:shd w:val="clear" w:color="auto" w:fill="auto"/>
            <w:noWrap/>
            <w:vAlign w:val="center"/>
            <w:hideMark/>
          </w:tcPr>
          <w:p w:rsidR="00176966" w:rsidRPr="005563B2" w:rsidRDefault="00502446"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w:t>
            </w:r>
          </w:p>
        </w:tc>
        <w:tc>
          <w:tcPr>
            <w:tcW w:w="1557" w:type="dxa"/>
            <w:shd w:val="clear" w:color="auto" w:fill="auto"/>
            <w:noWrap/>
            <w:vAlign w:val="center"/>
            <w:hideMark/>
          </w:tcPr>
          <w:p w:rsidR="00176966" w:rsidRPr="005563B2" w:rsidRDefault="00502446"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w:t>
            </w:r>
          </w:p>
        </w:tc>
        <w:tc>
          <w:tcPr>
            <w:tcW w:w="1555" w:type="dxa"/>
            <w:shd w:val="clear" w:color="auto" w:fill="auto"/>
            <w:noWrap/>
            <w:vAlign w:val="center"/>
            <w:hideMark/>
          </w:tcPr>
          <w:p w:rsidR="00176966" w:rsidRPr="005563B2" w:rsidRDefault="00502446"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w:t>
            </w:r>
          </w:p>
        </w:tc>
      </w:tr>
      <w:tr w:rsidR="00176966" w:rsidRPr="005563B2" w:rsidTr="001C4623">
        <w:trPr>
          <w:trHeight w:val="315"/>
        </w:trPr>
        <w:tc>
          <w:tcPr>
            <w:tcW w:w="1116"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2023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7,456</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392</w:t>
            </w:r>
          </w:p>
        </w:tc>
        <w:tc>
          <w:tcPr>
            <w:tcW w:w="1557" w:type="dxa"/>
            <w:shd w:val="clear" w:color="auto" w:fill="auto"/>
            <w:noWrap/>
            <w:vAlign w:val="center"/>
            <w:hideMark/>
          </w:tcPr>
          <w:p w:rsidR="00176966" w:rsidRPr="005563B2" w:rsidRDefault="006B64EC"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19.9</w:t>
            </w:r>
          </w:p>
        </w:tc>
        <w:tc>
          <w:tcPr>
            <w:tcW w:w="1555" w:type="dxa"/>
            <w:shd w:val="clear" w:color="auto" w:fill="auto"/>
            <w:noWrap/>
            <w:vAlign w:val="center"/>
            <w:hideMark/>
          </w:tcPr>
          <w:p w:rsidR="00176966" w:rsidRPr="005563B2" w:rsidRDefault="006B64EC"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5.1</w:t>
            </w:r>
            <w:r w:rsidR="00176966" w:rsidRPr="005563B2">
              <w:rPr>
                <w:rFonts w:ascii="Arial" w:eastAsia="Times New Roman" w:hAnsi="Arial" w:cs="Arial"/>
                <w:color w:val="000000"/>
                <w:sz w:val="18"/>
                <w:szCs w:val="18"/>
              </w:rPr>
              <w:t>%</w:t>
            </w:r>
          </w:p>
        </w:tc>
      </w:tr>
      <w:tr w:rsidR="00176966" w:rsidRPr="005563B2" w:rsidTr="001C4623">
        <w:trPr>
          <w:trHeight w:val="360"/>
        </w:trPr>
        <w:tc>
          <w:tcPr>
            <w:tcW w:w="1116" w:type="dxa"/>
            <w:vMerge w:val="restart"/>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b/>
                <w:bCs/>
                <w:color w:val="000000"/>
                <w:sz w:val="18"/>
                <w:szCs w:val="18"/>
              </w:rPr>
            </w:pPr>
            <w:r w:rsidRPr="005563B2">
              <w:rPr>
                <w:rFonts w:ascii="Arial" w:eastAsia="Times New Roman" w:hAnsi="Arial" w:cs="Arial"/>
                <w:b/>
                <w:bCs/>
                <w:color w:val="000000"/>
                <w:sz w:val="18"/>
                <w:szCs w:val="18"/>
              </w:rPr>
              <w:t>Total</w:t>
            </w:r>
          </w:p>
        </w:tc>
        <w:tc>
          <w:tcPr>
            <w:tcW w:w="1117" w:type="dxa"/>
            <w:vMerge w:val="restart"/>
            <w:shd w:val="clear" w:color="000000" w:fill="FFFFFF"/>
            <w:vAlign w:val="center"/>
            <w:hideMark/>
          </w:tcPr>
          <w:p w:rsidR="00176966" w:rsidRPr="005563B2" w:rsidRDefault="00176966" w:rsidP="00B81D97">
            <w:pPr>
              <w:spacing w:after="0" w:line="240" w:lineRule="auto"/>
              <w:jc w:val="center"/>
              <w:rPr>
                <w:rFonts w:ascii="Arial" w:eastAsia="Times New Roman" w:hAnsi="Arial" w:cs="Arial"/>
                <w:b/>
                <w:bCs/>
                <w:color w:val="000000"/>
                <w:sz w:val="18"/>
                <w:szCs w:val="18"/>
              </w:rPr>
            </w:pPr>
            <w:r w:rsidRPr="005563B2">
              <w:rPr>
                <w:rFonts w:ascii="Arial" w:eastAsia="Times New Roman" w:hAnsi="Arial" w:cs="Arial"/>
                <w:b/>
                <w:bCs/>
                <w:color w:val="000000"/>
                <w:sz w:val="18"/>
                <w:szCs w:val="18"/>
              </w:rPr>
              <w:t>Large</w:t>
            </w: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2013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5,552</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1,484</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88.3</w:t>
            </w:r>
          </w:p>
        </w:tc>
        <w:tc>
          <w:tcPr>
            <w:tcW w:w="1555" w:type="dxa"/>
            <w:shd w:val="clear" w:color="000000" w:fill="FFFFFF"/>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6.0%</w:t>
            </w:r>
          </w:p>
        </w:tc>
      </w:tr>
      <w:tr w:rsidR="00176966" w:rsidRPr="005563B2" w:rsidTr="001C4623">
        <w:trPr>
          <w:trHeight w:val="315"/>
        </w:trPr>
        <w:tc>
          <w:tcPr>
            <w:tcW w:w="1116"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2023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6,208</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1,654</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101.6</w:t>
            </w:r>
          </w:p>
        </w:tc>
        <w:tc>
          <w:tcPr>
            <w:tcW w:w="1555" w:type="dxa"/>
            <w:shd w:val="clear" w:color="000000" w:fill="FFFFFF"/>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6.1%</w:t>
            </w:r>
          </w:p>
        </w:tc>
      </w:tr>
      <w:tr w:rsidR="00176966" w:rsidRPr="005563B2" w:rsidTr="001C4623">
        <w:trPr>
          <w:trHeight w:val="315"/>
        </w:trPr>
        <w:tc>
          <w:tcPr>
            <w:tcW w:w="1116"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vMerge w:val="restart"/>
            <w:shd w:val="clear" w:color="000000" w:fill="FFFFFF"/>
            <w:vAlign w:val="center"/>
            <w:hideMark/>
          </w:tcPr>
          <w:p w:rsidR="00176966" w:rsidRPr="005563B2" w:rsidRDefault="00176966" w:rsidP="00B81D97">
            <w:pPr>
              <w:spacing w:after="0" w:line="240" w:lineRule="auto"/>
              <w:jc w:val="center"/>
              <w:rPr>
                <w:rFonts w:ascii="Arial" w:eastAsia="Times New Roman" w:hAnsi="Arial" w:cs="Arial"/>
                <w:b/>
                <w:bCs/>
                <w:color w:val="000000"/>
                <w:sz w:val="18"/>
                <w:szCs w:val="18"/>
              </w:rPr>
            </w:pPr>
            <w:r w:rsidRPr="005563B2">
              <w:rPr>
                <w:rFonts w:ascii="Arial" w:eastAsia="Times New Roman" w:hAnsi="Arial" w:cs="Arial"/>
                <w:b/>
                <w:bCs/>
                <w:color w:val="000000"/>
                <w:sz w:val="18"/>
                <w:szCs w:val="18"/>
              </w:rPr>
              <w:t>Medium</w:t>
            </w: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2013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228</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0.9</w:t>
            </w:r>
          </w:p>
        </w:tc>
        <w:tc>
          <w:tcPr>
            <w:tcW w:w="1555" w:type="dxa"/>
            <w:shd w:val="clear" w:color="000000" w:fill="FFFFFF"/>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3.9%</w:t>
            </w:r>
          </w:p>
        </w:tc>
      </w:tr>
      <w:tr w:rsidR="00176966" w:rsidRPr="005563B2" w:rsidTr="001C4623">
        <w:trPr>
          <w:trHeight w:val="315"/>
        </w:trPr>
        <w:tc>
          <w:tcPr>
            <w:tcW w:w="1116"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vMerge/>
            <w:vAlign w:val="center"/>
            <w:hideMark/>
          </w:tcPr>
          <w:p w:rsidR="00176966" w:rsidRPr="005563B2" w:rsidRDefault="00176966" w:rsidP="00B81D97">
            <w:pPr>
              <w:spacing w:after="0" w:line="240" w:lineRule="auto"/>
              <w:rPr>
                <w:rFonts w:ascii="Arial" w:eastAsia="Times New Roman" w:hAnsi="Arial" w:cs="Arial"/>
                <w:b/>
                <w:bCs/>
                <w:color w:val="000000"/>
                <w:sz w:val="18"/>
                <w:szCs w:val="18"/>
              </w:rPr>
            </w:pPr>
          </w:p>
        </w:tc>
        <w:tc>
          <w:tcPr>
            <w:tcW w:w="111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2023</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37,032</w:t>
            </w:r>
          </w:p>
        </w:tc>
        <w:tc>
          <w:tcPr>
            <w:tcW w:w="1557" w:type="dxa"/>
            <w:shd w:val="clear" w:color="auto" w:fill="auto"/>
            <w:noWrap/>
            <w:vAlign w:val="center"/>
            <w:hideMark/>
          </w:tcPr>
          <w:p w:rsidR="00176966" w:rsidRPr="005563B2" w:rsidRDefault="00176966" w:rsidP="00B81D97">
            <w:pPr>
              <w:spacing w:after="0" w:line="240" w:lineRule="auto"/>
              <w:jc w:val="center"/>
              <w:rPr>
                <w:rFonts w:ascii="Arial" w:eastAsia="Times New Roman" w:hAnsi="Arial" w:cs="Arial"/>
                <w:color w:val="000000"/>
                <w:sz w:val="18"/>
                <w:szCs w:val="18"/>
              </w:rPr>
            </w:pPr>
            <w:r w:rsidRPr="005563B2">
              <w:rPr>
                <w:rFonts w:ascii="Arial" w:eastAsia="Times New Roman" w:hAnsi="Arial" w:cs="Arial"/>
                <w:color w:val="000000"/>
                <w:sz w:val="18"/>
                <w:szCs w:val="18"/>
              </w:rPr>
              <w:t>1,450</w:t>
            </w:r>
          </w:p>
        </w:tc>
        <w:tc>
          <w:tcPr>
            <w:tcW w:w="1557" w:type="dxa"/>
            <w:shd w:val="clear" w:color="auto" w:fill="auto"/>
            <w:noWrap/>
            <w:vAlign w:val="center"/>
            <w:hideMark/>
          </w:tcPr>
          <w:p w:rsidR="00176966" w:rsidRPr="005563B2" w:rsidRDefault="006B64EC"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84.1</w:t>
            </w:r>
          </w:p>
        </w:tc>
        <w:tc>
          <w:tcPr>
            <w:tcW w:w="1555" w:type="dxa"/>
            <w:shd w:val="clear" w:color="000000" w:fill="FFFFFF"/>
            <w:noWrap/>
            <w:vAlign w:val="center"/>
            <w:hideMark/>
          </w:tcPr>
          <w:p w:rsidR="00176966" w:rsidRPr="005563B2" w:rsidRDefault="006B64EC" w:rsidP="00B81D97">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5.8</w:t>
            </w:r>
            <w:r w:rsidR="00176966" w:rsidRPr="005563B2">
              <w:rPr>
                <w:rFonts w:ascii="Arial" w:eastAsia="Times New Roman" w:hAnsi="Arial" w:cs="Arial"/>
                <w:color w:val="000000"/>
                <w:sz w:val="18"/>
                <w:szCs w:val="18"/>
              </w:rPr>
              <w:t>%</w:t>
            </w:r>
          </w:p>
        </w:tc>
      </w:tr>
    </w:tbl>
    <w:p w:rsidR="005D51F9" w:rsidRDefault="00F355DB" w:rsidP="0087138F">
      <w:pPr>
        <w:pStyle w:val="BodyBeforeBullet"/>
        <w:spacing w:before="360"/>
      </w:pPr>
      <w:r>
        <w:t xml:space="preserve">Key findings </w:t>
      </w:r>
      <w:r w:rsidR="00994CEF">
        <w:t>f</w:t>
      </w:r>
      <w:r w:rsidR="00C1526E">
        <w:t>or</w:t>
      </w:r>
      <w:r w:rsidR="00994CEF">
        <w:t xml:space="preserve"> PG&amp;E </w:t>
      </w:r>
      <w:r w:rsidR="00A40A24">
        <w:t>include</w:t>
      </w:r>
      <w:r>
        <w:t xml:space="preserve"> the following</w:t>
      </w:r>
      <w:r w:rsidR="00A40A24">
        <w:t>:</w:t>
      </w:r>
    </w:p>
    <w:p w:rsidR="00994CEF" w:rsidRPr="009A62CE" w:rsidRDefault="00994CEF" w:rsidP="005E7516">
      <w:pPr>
        <w:pStyle w:val="Bullets"/>
        <w:rPr>
          <w:i/>
        </w:rPr>
      </w:pPr>
      <w:r w:rsidRPr="009A62CE">
        <w:rPr>
          <w:i/>
        </w:rPr>
        <w:t>In aggregate, pa</w:t>
      </w:r>
      <w:r w:rsidR="00834427">
        <w:rPr>
          <w:i/>
        </w:rPr>
        <w:t>rticipants reduced demand by 6.9</w:t>
      </w:r>
      <w:r w:rsidRPr="009A62CE">
        <w:rPr>
          <w:i/>
        </w:rPr>
        <w:t>% across the 2 to 6</w:t>
      </w:r>
      <w:r w:rsidR="00F104F9">
        <w:rPr>
          <w:i/>
        </w:rPr>
        <w:t xml:space="preserve"> </w:t>
      </w:r>
      <w:r w:rsidR="00834427">
        <w:rPr>
          <w:i/>
        </w:rPr>
        <w:t>PM</w:t>
      </w:r>
      <w:r w:rsidRPr="009A62CE">
        <w:rPr>
          <w:i/>
        </w:rPr>
        <w:t xml:space="preserve"> event window for the average event day, delivering </w:t>
      </w:r>
      <w:r w:rsidR="006B64EC">
        <w:rPr>
          <w:i/>
        </w:rPr>
        <w:t>30</w:t>
      </w:r>
      <w:r w:rsidR="002E6D34">
        <w:rPr>
          <w:i/>
        </w:rPr>
        <w:t>.2</w:t>
      </w:r>
      <w:r w:rsidR="006B64EC">
        <w:rPr>
          <w:i/>
        </w:rPr>
        <w:t xml:space="preserve"> </w:t>
      </w:r>
      <w:r w:rsidRPr="009A62CE">
        <w:rPr>
          <w:i/>
        </w:rPr>
        <w:t xml:space="preserve">MW of demand reduction. </w:t>
      </w:r>
    </w:p>
    <w:p w:rsidR="00994CEF" w:rsidRDefault="009A62CE" w:rsidP="005E7516">
      <w:pPr>
        <w:pStyle w:val="Bullets"/>
      </w:pPr>
      <w:r w:rsidRPr="009A62CE">
        <w:rPr>
          <w:i/>
        </w:rPr>
        <w:t>T</w:t>
      </w:r>
      <w:r w:rsidR="00994CEF" w:rsidRPr="009A62CE">
        <w:rPr>
          <w:i/>
        </w:rPr>
        <w:t xml:space="preserve">he differences between individual </w:t>
      </w:r>
      <w:r w:rsidR="00EA35B2">
        <w:rPr>
          <w:i/>
        </w:rPr>
        <w:t xml:space="preserve">2012 </w:t>
      </w:r>
      <w:r w:rsidR="00994CEF" w:rsidRPr="009A62CE">
        <w:rPr>
          <w:i/>
        </w:rPr>
        <w:t>event day results and average event day results are not statistically significant</w:t>
      </w:r>
      <w:r w:rsidR="00994CEF">
        <w:t xml:space="preserve">. </w:t>
      </w:r>
      <w:r w:rsidR="00F104F9">
        <w:t xml:space="preserve"> </w:t>
      </w:r>
      <w:r>
        <w:t xml:space="preserve">Estimated demand reductions vary from </w:t>
      </w:r>
      <w:r w:rsidR="002E6D34">
        <w:t xml:space="preserve">21.0 </w:t>
      </w:r>
      <w:r>
        <w:t xml:space="preserve">MW to </w:t>
      </w:r>
      <w:r w:rsidR="002E6D34">
        <w:t>41.2</w:t>
      </w:r>
      <w:r>
        <w:t xml:space="preserve"> MW for individual events.  On a percentage basis</w:t>
      </w:r>
      <w:r w:rsidR="00F104F9">
        <w:t>,</w:t>
      </w:r>
      <w:r>
        <w:t xml:space="preserve"> demand reduction estimates vary from </w:t>
      </w:r>
      <w:r w:rsidR="00834427">
        <w:t>4.7</w:t>
      </w:r>
      <w:r>
        <w:t xml:space="preserve">% to </w:t>
      </w:r>
      <w:r w:rsidR="00834427">
        <w:t>9.4</w:t>
      </w:r>
      <w:r>
        <w:t xml:space="preserve">%. </w:t>
      </w:r>
      <w:r w:rsidR="00F104F9">
        <w:t xml:space="preserve"> </w:t>
      </w:r>
      <w:r>
        <w:t>The confidence bands for individual event days are wide and reflect the challenge of detecting relatively small percentage changes in demand from typical load variation.</w:t>
      </w:r>
      <w:r w:rsidR="007C1FE3">
        <w:t xml:space="preserve">  </w:t>
      </w:r>
      <w:r w:rsidR="00EA35B2">
        <w:t xml:space="preserve">While day-to-day performance can vary, </w:t>
      </w:r>
      <w:r w:rsidR="00FE50C5">
        <w:t>much</w:t>
      </w:r>
      <w:r w:rsidR="00EA35B2">
        <w:t xml:space="preserve"> of</w:t>
      </w:r>
      <w:r w:rsidR="007C1FE3">
        <w:t xml:space="preserve"> </w:t>
      </w:r>
      <w:r w:rsidR="00FE50C5">
        <w:t xml:space="preserve">the variation </w:t>
      </w:r>
      <w:r w:rsidR="007C1FE3">
        <w:t xml:space="preserve">across days </w:t>
      </w:r>
      <w:r w:rsidR="00EA35B2">
        <w:t xml:space="preserve">is </w:t>
      </w:r>
      <w:r w:rsidR="00FE50C5">
        <w:t xml:space="preserve">due to </w:t>
      </w:r>
      <w:r w:rsidR="007C1FE3">
        <w:t>statistical uncertainty</w:t>
      </w:r>
      <w:r w:rsidR="00EA35B2">
        <w:t xml:space="preserve">. </w:t>
      </w:r>
      <w:r w:rsidR="007C1FE3">
        <w:t xml:space="preserve"> </w:t>
      </w:r>
    </w:p>
    <w:p w:rsidR="009A62CE" w:rsidRDefault="009A62CE" w:rsidP="002B5AC6">
      <w:pPr>
        <w:pStyle w:val="Bullets"/>
      </w:pPr>
      <w:r w:rsidRPr="00C1526E">
        <w:rPr>
          <w:i/>
        </w:rPr>
        <w:t>Demand reductions are concentrated in specific industry se</w:t>
      </w:r>
      <w:r w:rsidR="007C1FE3">
        <w:rPr>
          <w:i/>
        </w:rPr>
        <w:t>gment</w:t>
      </w:r>
      <w:r w:rsidRPr="00C1526E">
        <w:rPr>
          <w:i/>
        </w:rPr>
        <w:t xml:space="preserve">s – </w:t>
      </w:r>
      <w:r w:rsidR="0031055C">
        <w:rPr>
          <w:i/>
        </w:rPr>
        <w:t>M</w:t>
      </w:r>
      <w:r w:rsidRPr="00C1526E">
        <w:rPr>
          <w:i/>
        </w:rPr>
        <w:t>anufacturing</w:t>
      </w:r>
      <w:r w:rsidR="0031055C">
        <w:rPr>
          <w:i/>
        </w:rPr>
        <w:t xml:space="preserve"> and</w:t>
      </w:r>
      <w:r w:rsidRPr="00C1526E">
        <w:rPr>
          <w:i/>
        </w:rPr>
        <w:t xml:space="preserve"> </w:t>
      </w:r>
      <w:r w:rsidR="0031055C">
        <w:rPr>
          <w:i/>
        </w:rPr>
        <w:t>W</w:t>
      </w:r>
      <w:r w:rsidRPr="00C1526E">
        <w:rPr>
          <w:i/>
        </w:rPr>
        <w:t>holesale</w:t>
      </w:r>
      <w:r w:rsidR="0031055C">
        <w:rPr>
          <w:i/>
        </w:rPr>
        <w:t>, Transport &amp; Other Utilities</w:t>
      </w:r>
      <w:r w:rsidRPr="00C1526E">
        <w:rPr>
          <w:i/>
        </w:rPr>
        <w:t xml:space="preserve">, and </w:t>
      </w:r>
      <w:r w:rsidR="0031055C">
        <w:rPr>
          <w:i/>
        </w:rPr>
        <w:t>A</w:t>
      </w:r>
      <w:r w:rsidRPr="00C1526E">
        <w:rPr>
          <w:i/>
        </w:rPr>
        <w:t>griculture</w:t>
      </w:r>
      <w:r>
        <w:t xml:space="preserve">.  </w:t>
      </w:r>
      <w:r w:rsidR="00215249">
        <w:t>For</w:t>
      </w:r>
      <w:r>
        <w:t xml:space="preserve"> PG&amp;E, these customers make up </w:t>
      </w:r>
      <w:r w:rsidR="00834427">
        <w:t>41</w:t>
      </w:r>
      <w:r>
        <w:t xml:space="preserve">% of program enrollment, </w:t>
      </w:r>
      <w:r w:rsidR="002E6D34">
        <w:t>41</w:t>
      </w:r>
      <w:r>
        <w:t xml:space="preserve">% of program load and </w:t>
      </w:r>
      <w:r w:rsidR="002E6D34">
        <w:t>over 85</w:t>
      </w:r>
      <w:r>
        <w:t xml:space="preserve">% of the estimated demand reductions.  Manufacturing, </w:t>
      </w:r>
      <w:r w:rsidR="00C4748D">
        <w:t>Wholesale &amp;</w:t>
      </w:r>
      <w:r>
        <w:t xml:space="preserve"> </w:t>
      </w:r>
      <w:r w:rsidR="00C4748D">
        <w:t>Transport</w:t>
      </w:r>
      <w:r>
        <w:t xml:space="preserve">, and </w:t>
      </w:r>
      <w:r w:rsidR="00C4748D">
        <w:t>A</w:t>
      </w:r>
      <w:r>
        <w:t>griculture customers reduce a large</w:t>
      </w:r>
      <w:r w:rsidR="007C1FE3">
        <w:t>r</w:t>
      </w:r>
      <w:r>
        <w:t xml:space="preserve"> share of their demand than the average CPP customer, delivering reductions of </w:t>
      </w:r>
      <w:r w:rsidR="00834427">
        <w:t>11.6</w:t>
      </w:r>
      <w:r>
        <w:t xml:space="preserve">%, </w:t>
      </w:r>
      <w:r w:rsidR="00834427">
        <w:t>20.8</w:t>
      </w:r>
      <w:r>
        <w:t xml:space="preserve">% and </w:t>
      </w:r>
      <w:r w:rsidR="00834427">
        <w:t>13.7</w:t>
      </w:r>
      <w:r>
        <w:t xml:space="preserve">%, respectively. </w:t>
      </w:r>
    </w:p>
    <w:p w:rsidR="009A62CE" w:rsidRDefault="00873D05" w:rsidP="002B5AC6">
      <w:pPr>
        <w:pStyle w:val="Bullets"/>
      </w:pPr>
      <w:r w:rsidRPr="00C1526E">
        <w:rPr>
          <w:i/>
        </w:rPr>
        <w:lastRenderedPageBreak/>
        <w:t>A large share of CPP customers and program load are in the Greater Bay Area, but the majority of demand reductions are delivered by customers in the Central Valley.</w:t>
      </w:r>
      <w:r>
        <w:t xml:space="preserve">  This pattern reflects differences in the industry mix between the regions.  The Greater Bay Area accounts for </w:t>
      </w:r>
      <w:r w:rsidR="002E6D34">
        <w:t>47</w:t>
      </w:r>
      <w:r w:rsidRPr="00873D05">
        <w:t>%</w:t>
      </w:r>
      <w:r w:rsidR="002E6D34">
        <w:t xml:space="preserve"> of CPP customers, 56</w:t>
      </w:r>
      <w:r>
        <w:t xml:space="preserve">% of program load and </w:t>
      </w:r>
      <w:r w:rsidR="002E6D34">
        <w:t>36</w:t>
      </w:r>
      <w:r w:rsidRPr="00873D05">
        <w:t>%</w:t>
      </w:r>
      <w:r>
        <w:t xml:space="preserve"> of estimated demand reductions.  The regions in the Central Valley –</w:t>
      </w:r>
      <w:r w:rsidR="00C1526E">
        <w:t xml:space="preserve"> Greater Fresno, Stockton, Kern and Other – </w:t>
      </w:r>
      <w:r w:rsidR="007C1FE3">
        <w:t xml:space="preserve">combined </w:t>
      </w:r>
      <w:r>
        <w:t xml:space="preserve">account for </w:t>
      </w:r>
      <w:r w:rsidRPr="00873D05">
        <w:t>4</w:t>
      </w:r>
      <w:r w:rsidR="008E36A9">
        <w:t>6</w:t>
      </w:r>
      <w:r w:rsidRPr="00873D05">
        <w:t>%</w:t>
      </w:r>
      <w:r>
        <w:t xml:space="preserve"> of default CPP customers, 3</w:t>
      </w:r>
      <w:r w:rsidR="008E36A9">
        <w:t>5</w:t>
      </w:r>
      <w:r>
        <w:t xml:space="preserve">% of program load, and </w:t>
      </w:r>
      <w:r w:rsidRPr="00873D05">
        <w:t>55%</w:t>
      </w:r>
      <w:r>
        <w:t xml:space="preserve"> of estimated demand reductions.</w:t>
      </w:r>
    </w:p>
    <w:p w:rsidR="00183374" w:rsidRDefault="00183374" w:rsidP="00183374">
      <w:pPr>
        <w:pStyle w:val="Bullets"/>
        <w:rPr>
          <w:color w:val="1F497D"/>
        </w:rPr>
      </w:pPr>
      <w:r>
        <w:rPr>
          <w:i/>
          <w:iCs/>
        </w:rPr>
        <w:t xml:space="preserve">Ex ante load impact for large customers are expected to grow marginally from 40 MW in 2013 to 51 MW in 2023, </w:t>
      </w:r>
      <w:r>
        <w:rPr>
          <w:iCs/>
        </w:rPr>
        <w:t>in part because PG&amp;E expects additional large customers to default onto CPP in November 2014</w:t>
      </w:r>
      <w:r>
        <w:t xml:space="preserve">. </w:t>
      </w:r>
    </w:p>
    <w:p w:rsidR="00183374" w:rsidRDefault="00183374" w:rsidP="00183374">
      <w:pPr>
        <w:pStyle w:val="Bullets"/>
        <w:rPr>
          <w:color w:val="1F497D"/>
        </w:rPr>
      </w:pPr>
      <w:r>
        <w:rPr>
          <w:i/>
          <w:iCs/>
        </w:rPr>
        <w:t>Default CPP load impacts for medium C&amp;I customers are highly uncertain.</w:t>
      </w:r>
      <w:r w:rsidR="0031055C">
        <w:rPr>
          <w:i/>
          <w:iCs/>
        </w:rPr>
        <w:t xml:space="preserve">  </w:t>
      </w:r>
      <w:r w:rsidR="004C75C6">
        <w:t>The initial estimate developed by using the customers currently on CPP that most resemble medium customers indicate the</w:t>
      </w:r>
      <w:r w:rsidR="00827253">
        <w:t xml:space="preserve">y will deliver approximately 60 MW. </w:t>
      </w:r>
    </w:p>
    <w:p w:rsidR="001E3B5B" w:rsidRDefault="001E3B5B">
      <w:pPr>
        <w:pStyle w:val="Bullets"/>
        <w:numPr>
          <w:ilvl w:val="0"/>
          <w:numId w:val="0"/>
        </w:numPr>
        <w:ind w:left="360"/>
      </w:pPr>
    </w:p>
    <w:p w:rsidR="001E3B5B" w:rsidRDefault="00C1526E" w:rsidP="00340FC0">
      <w:pPr>
        <w:pStyle w:val="BodyBeforeBullet"/>
        <w:keepNext w:val="0"/>
      </w:pPr>
      <w:r>
        <w:t>Key findings for SCE include the following:</w:t>
      </w:r>
    </w:p>
    <w:p w:rsidR="0026741A" w:rsidRPr="009A62CE" w:rsidRDefault="0026741A" w:rsidP="005E7516">
      <w:pPr>
        <w:pStyle w:val="Bullets"/>
        <w:rPr>
          <w:i/>
        </w:rPr>
      </w:pPr>
      <w:r w:rsidRPr="009A62CE">
        <w:rPr>
          <w:i/>
        </w:rPr>
        <w:t>In aggregate, pa</w:t>
      </w:r>
      <w:r w:rsidR="00CC2028">
        <w:rPr>
          <w:i/>
        </w:rPr>
        <w:t>rticipants reduced demand by 6.0</w:t>
      </w:r>
      <w:r w:rsidRPr="009A62CE">
        <w:rPr>
          <w:i/>
        </w:rPr>
        <w:t>% across the 2 to 6</w:t>
      </w:r>
      <w:r w:rsidR="00215249">
        <w:rPr>
          <w:i/>
        </w:rPr>
        <w:t xml:space="preserve"> </w:t>
      </w:r>
      <w:r>
        <w:rPr>
          <w:i/>
        </w:rPr>
        <w:t>PM</w:t>
      </w:r>
      <w:r w:rsidRPr="009A62CE">
        <w:rPr>
          <w:i/>
        </w:rPr>
        <w:t xml:space="preserve"> event window for the average event day, delivering </w:t>
      </w:r>
      <w:r w:rsidR="00CC2028">
        <w:rPr>
          <w:i/>
        </w:rPr>
        <w:t>32.9</w:t>
      </w:r>
      <w:r w:rsidRPr="009A62CE">
        <w:rPr>
          <w:i/>
        </w:rPr>
        <w:t xml:space="preserve"> MW of demand reduction. </w:t>
      </w:r>
    </w:p>
    <w:p w:rsidR="003A2610" w:rsidRDefault="0026741A" w:rsidP="005E7516">
      <w:pPr>
        <w:pStyle w:val="Bullets"/>
      </w:pPr>
      <w:r w:rsidRPr="009A62CE">
        <w:rPr>
          <w:i/>
        </w:rPr>
        <w:t xml:space="preserve">The differences between individual event day results and </w:t>
      </w:r>
      <w:r w:rsidR="00CC2028">
        <w:rPr>
          <w:i/>
        </w:rPr>
        <w:t xml:space="preserve">average event day results are </w:t>
      </w:r>
      <w:r w:rsidRPr="009A62CE">
        <w:rPr>
          <w:i/>
        </w:rPr>
        <w:t>statistically significant for</w:t>
      </w:r>
      <w:r w:rsidR="00CC2028">
        <w:rPr>
          <w:i/>
        </w:rPr>
        <w:t xml:space="preserve"> only </w:t>
      </w:r>
      <w:r w:rsidR="0031055C">
        <w:rPr>
          <w:i/>
        </w:rPr>
        <w:t xml:space="preserve">1 </w:t>
      </w:r>
      <w:r w:rsidR="00CC2028">
        <w:rPr>
          <w:i/>
        </w:rPr>
        <w:t xml:space="preserve">of 12 </w:t>
      </w:r>
      <w:r w:rsidRPr="009A62CE">
        <w:rPr>
          <w:i/>
        </w:rPr>
        <w:t>event days</w:t>
      </w:r>
      <w:r>
        <w:t xml:space="preserve">. </w:t>
      </w:r>
      <w:r w:rsidR="00215249">
        <w:t xml:space="preserve"> </w:t>
      </w:r>
      <w:r>
        <w:t xml:space="preserve">Estimated demand </w:t>
      </w:r>
      <w:r w:rsidR="00CC2028">
        <w:t>reduction</w:t>
      </w:r>
      <w:r w:rsidR="00FE50C5">
        <w:t>s</w:t>
      </w:r>
      <w:r w:rsidR="00CC2028">
        <w:t xml:space="preserve"> vary from</w:t>
      </w:r>
      <w:r w:rsidR="0031055C">
        <w:t> </w:t>
      </w:r>
      <w:r w:rsidR="00CC2028">
        <w:t>22</w:t>
      </w:r>
      <w:r>
        <w:t>.6 MW to 4</w:t>
      </w:r>
      <w:r w:rsidR="00CC2028">
        <w:t>5.6</w:t>
      </w:r>
      <w:r>
        <w:t xml:space="preserve"> MW for individual events.  On a percentage basis</w:t>
      </w:r>
      <w:r w:rsidR="00215249">
        <w:t>,</w:t>
      </w:r>
      <w:r>
        <w:t xml:space="preserve"> demand reduction es</w:t>
      </w:r>
      <w:r w:rsidR="00CC2028">
        <w:t>timates vary from 4.4% to 8.7</w:t>
      </w:r>
      <w:r>
        <w:t xml:space="preserve">%. </w:t>
      </w:r>
      <w:r w:rsidR="00215249">
        <w:t xml:space="preserve"> </w:t>
      </w:r>
      <w:r w:rsidR="00CC2028">
        <w:t xml:space="preserve">The difference between the average event load reduction of 32.9 MW and the demand reduction of 45.6 MW on July 12 is statistically significant.  </w:t>
      </w:r>
      <w:r w:rsidR="00952173">
        <w:t>As with PG&amp;E, w</w:t>
      </w:r>
      <w:r w:rsidR="00952173" w:rsidRPr="00952173">
        <w:t xml:space="preserve">hile day-to-day performance can vary, </w:t>
      </w:r>
      <w:r w:rsidR="00FE50C5">
        <w:t>much</w:t>
      </w:r>
      <w:r w:rsidR="00952173" w:rsidRPr="00952173">
        <w:t xml:space="preserve"> of </w:t>
      </w:r>
      <w:r w:rsidR="00FE50C5">
        <w:t>the variation</w:t>
      </w:r>
      <w:r w:rsidR="00952173" w:rsidRPr="00952173">
        <w:t xml:space="preserve"> across days is explained by statistical uncertainty</w:t>
      </w:r>
      <w:r w:rsidR="003A2610">
        <w:t>.</w:t>
      </w:r>
    </w:p>
    <w:p w:rsidR="0026741A" w:rsidRDefault="0026741A" w:rsidP="002B5AC6">
      <w:pPr>
        <w:pStyle w:val="Bullets"/>
      </w:pPr>
      <w:r w:rsidRPr="00952173">
        <w:rPr>
          <w:i/>
        </w:rPr>
        <w:t xml:space="preserve">Demand reductions are </w:t>
      </w:r>
      <w:r w:rsidR="00CC2028" w:rsidRPr="00952173">
        <w:rPr>
          <w:i/>
        </w:rPr>
        <w:t xml:space="preserve">highly </w:t>
      </w:r>
      <w:r w:rsidRPr="00952173">
        <w:rPr>
          <w:i/>
        </w:rPr>
        <w:t>concentrated in specific industry s</w:t>
      </w:r>
      <w:r w:rsidR="00085C93" w:rsidRPr="00952173">
        <w:rPr>
          <w:i/>
        </w:rPr>
        <w:t>egment</w:t>
      </w:r>
      <w:r w:rsidRPr="00952173">
        <w:rPr>
          <w:i/>
        </w:rPr>
        <w:t xml:space="preserve">s – </w:t>
      </w:r>
      <w:r w:rsidR="0031055C">
        <w:rPr>
          <w:i/>
        </w:rPr>
        <w:t>M</w:t>
      </w:r>
      <w:r w:rsidRPr="00952173">
        <w:rPr>
          <w:i/>
        </w:rPr>
        <w:t xml:space="preserve">anufacturing, </w:t>
      </w:r>
      <w:r w:rsidR="00CC2028" w:rsidRPr="00952173">
        <w:rPr>
          <w:i/>
        </w:rPr>
        <w:t xml:space="preserve">and </w:t>
      </w:r>
      <w:r w:rsidR="0031055C">
        <w:rPr>
          <w:i/>
        </w:rPr>
        <w:t>W</w:t>
      </w:r>
      <w:r w:rsidRPr="00952173">
        <w:rPr>
          <w:i/>
        </w:rPr>
        <w:t>holesale</w:t>
      </w:r>
      <w:r w:rsidR="0031055C">
        <w:rPr>
          <w:i/>
        </w:rPr>
        <w:t>, Transport &amp; Other Utilities</w:t>
      </w:r>
      <w:r w:rsidRPr="00952173">
        <w:rPr>
          <w:i/>
        </w:rPr>
        <w:t xml:space="preserve">.  </w:t>
      </w:r>
      <w:r w:rsidR="00CC2028" w:rsidRPr="00FE50C5">
        <w:t>T</w:t>
      </w:r>
      <w:r w:rsidRPr="00FE50C5">
        <w:t xml:space="preserve">hese customers make up </w:t>
      </w:r>
      <w:r w:rsidR="00CC2028" w:rsidRPr="00FE50C5">
        <w:t xml:space="preserve">45% </w:t>
      </w:r>
      <w:r w:rsidR="00CC2028">
        <w:t>of program enrollment and 44</w:t>
      </w:r>
      <w:r>
        <w:t xml:space="preserve">% of </w:t>
      </w:r>
      <w:r w:rsidR="00CC2028">
        <w:t>program load</w:t>
      </w:r>
      <w:r w:rsidR="001F5A6D">
        <w:t xml:space="preserve"> at SCE</w:t>
      </w:r>
      <w:r w:rsidR="00CC2028">
        <w:t>, but contribute 87</w:t>
      </w:r>
      <w:r>
        <w:t>% of the estimated demand</w:t>
      </w:r>
      <w:r w:rsidR="0031055C">
        <w:t> </w:t>
      </w:r>
      <w:r>
        <w:t>reductions.  Manufacturing</w:t>
      </w:r>
      <w:r w:rsidR="001F5A6D">
        <w:t xml:space="preserve"> and</w:t>
      </w:r>
      <w:r>
        <w:t xml:space="preserve"> </w:t>
      </w:r>
      <w:r w:rsidR="00C4748D">
        <w:t>Wholesale &amp; T</w:t>
      </w:r>
      <w:r>
        <w:t>ra</w:t>
      </w:r>
      <w:r w:rsidR="00C4748D">
        <w:t>nsport</w:t>
      </w:r>
      <w:r>
        <w:t xml:space="preserve"> customers reduce a large</w:t>
      </w:r>
      <w:r w:rsidR="00085C93">
        <w:t>r</w:t>
      </w:r>
      <w:r>
        <w:t xml:space="preserve"> share</w:t>
      </w:r>
      <w:r w:rsidR="0031055C">
        <w:t> </w:t>
      </w:r>
      <w:r>
        <w:t>of their demand than</w:t>
      </w:r>
      <w:r w:rsidR="00215249">
        <w:t> </w:t>
      </w:r>
      <w:r>
        <w:t>the average CPP customer, delivering reductions of 1</w:t>
      </w:r>
      <w:r w:rsidR="001F5A6D">
        <w:t>3.8</w:t>
      </w:r>
      <w:r>
        <w:t>%</w:t>
      </w:r>
      <w:r w:rsidR="001F5A6D">
        <w:t xml:space="preserve"> and</w:t>
      </w:r>
      <w:r w:rsidR="0031055C">
        <w:t> </w:t>
      </w:r>
      <w:r w:rsidR="001F5A6D">
        <w:t xml:space="preserve">9.4%, </w:t>
      </w:r>
      <w:r>
        <w:t xml:space="preserve">respectively. </w:t>
      </w:r>
    </w:p>
    <w:p w:rsidR="00B23ABE" w:rsidRDefault="00FE50C5" w:rsidP="005E7516">
      <w:pPr>
        <w:pStyle w:val="Bullets"/>
      </w:pPr>
      <w:r>
        <w:rPr>
          <w:i/>
        </w:rPr>
        <w:t xml:space="preserve">Average load reductions are lower in </w:t>
      </w:r>
      <w:r w:rsidR="0070711B">
        <w:rPr>
          <w:i/>
        </w:rPr>
        <w:t xml:space="preserve">the </w:t>
      </w:r>
      <w:r w:rsidR="0001163F" w:rsidRPr="00952173">
        <w:rPr>
          <w:i/>
        </w:rPr>
        <w:t>areas affected by the SONGS outage</w:t>
      </w:r>
      <w:r w:rsidR="0001163F" w:rsidRPr="003A2610">
        <w:t>.  Power flow to the southern Orange County area has been impacted by the outage</w:t>
      </w:r>
      <w:r w:rsidR="0001163F">
        <w:t xml:space="preserve"> of two out of three generating units at the San Onofre Nuclear Generating Station</w:t>
      </w:r>
      <w:r w:rsidR="0070711B">
        <w:t xml:space="preserve"> (SONGS)</w:t>
      </w:r>
      <w:r w:rsidR="0001163F">
        <w:t xml:space="preserve">. </w:t>
      </w:r>
      <w:r w:rsidR="0031055C">
        <w:t xml:space="preserve"> </w:t>
      </w:r>
      <w:r w:rsidR="0001163F">
        <w:t xml:space="preserve">44% of SCE’s CPP participants are located in the South of Lugo or South Orange County transmission regions.  These 1,082 CPP customers delivered 17.8 MW of demand response, representing a 3.7% load </w:t>
      </w:r>
      <w:r w:rsidR="00085C93">
        <w:t>reduction</w:t>
      </w:r>
      <w:r w:rsidR="0001163F">
        <w:t xml:space="preserve">.  The lower load impacts in </w:t>
      </w:r>
      <w:r w:rsidR="00952173">
        <w:t xml:space="preserve">Orange County relative to the rest of the service territory reflect differences in the customer mix.   </w:t>
      </w:r>
    </w:p>
    <w:p w:rsidR="00E60837" w:rsidRDefault="00E60837" w:rsidP="005E7516">
      <w:pPr>
        <w:pStyle w:val="Bullets"/>
      </w:pPr>
      <w:r>
        <w:rPr>
          <w:i/>
        </w:rPr>
        <w:t>The share of CPP load impacts due to dually enrolled customers has tripled since 2011</w:t>
      </w:r>
      <w:r w:rsidR="00583C89" w:rsidRPr="00583C89">
        <w:t>.</w:t>
      </w:r>
      <w:r w:rsidR="0070711B">
        <w:t xml:space="preserve">  In</w:t>
      </w:r>
      <w:r>
        <w:t xml:space="preserve"> 2011, 4.0 MW of CPP load impacts (11% of the total CPP load impact) were delivered by dua</w:t>
      </w:r>
      <w:r w:rsidR="0070711B">
        <w:t>l</w:t>
      </w:r>
      <w:r>
        <w:t>l</w:t>
      </w:r>
      <w:r w:rsidR="0070711B">
        <w:t>y</w:t>
      </w:r>
      <w:r>
        <w:t xml:space="preserve"> </w:t>
      </w:r>
      <w:r w:rsidR="0070711B">
        <w:t xml:space="preserve">enrolled customers. </w:t>
      </w:r>
      <w:r w:rsidR="0031055C">
        <w:t xml:space="preserve"> </w:t>
      </w:r>
      <w:r w:rsidR="0070711B">
        <w:t xml:space="preserve">The </w:t>
      </w:r>
      <w:r>
        <w:t>contributi</w:t>
      </w:r>
      <w:r w:rsidR="0070711B">
        <w:t xml:space="preserve">on of this group to total program impacts </w:t>
      </w:r>
      <w:r>
        <w:t xml:space="preserve">tripled </w:t>
      </w:r>
      <w:r w:rsidR="0070711B">
        <w:t xml:space="preserve">between 2011 and 2012 </w:t>
      </w:r>
      <w:r>
        <w:t>to 33</w:t>
      </w:r>
      <w:r w:rsidR="0070711B">
        <w:t>% (10.7 MW)</w:t>
      </w:r>
      <w:r>
        <w:t>.</w:t>
      </w:r>
    </w:p>
    <w:p w:rsidR="00183374" w:rsidRDefault="00183374" w:rsidP="00183374">
      <w:pPr>
        <w:pStyle w:val="Bullets"/>
      </w:pPr>
      <w:r w:rsidRPr="00340FC0">
        <w:rPr>
          <w:i/>
        </w:rPr>
        <w:t xml:space="preserve">Under SCE’s current enrollment projections, the load reduction capabilities of the large customer default CPP is expected to remain </w:t>
      </w:r>
      <w:r>
        <w:rPr>
          <w:i/>
        </w:rPr>
        <w:t xml:space="preserve">nearly </w:t>
      </w:r>
      <w:r w:rsidRPr="00340FC0">
        <w:rPr>
          <w:i/>
        </w:rPr>
        <w:t>constant</w:t>
      </w:r>
      <w:r>
        <w:t>.  2013 aggregate load impacts at SCE during an August event for the 1-in-2 weather year scenario is estimated to be 31.0 MW.</w:t>
      </w:r>
    </w:p>
    <w:p w:rsidR="0070711B" w:rsidRDefault="0070711B" w:rsidP="002B5AC6">
      <w:pPr>
        <w:pStyle w:val="Bullets"/>
        <w:numPr>
          <w:ilvl w:val="0"/>
          <w:numId w:val="0"/>
        </w:numPr>
        <w:ind w:left="360"/>
      </w:pPr>
    </w:p>
    <w:p w:rsidR="001E3B5B" w:rsidRDefault="00994CEF" w:rsidP="00340FC0">
      <w:pPr>
        <w:pStyle w:val="BodyBeforeBullet"/>
        <w:keepNext w:val="0"/>
      </w:pPr>
      <w:r>
        <w:t>Key findings f</w:t>
      </w:r>
      <w:r w:rsidR="00EF0B5B">
        <w:t xml:space="preserve">or SDG&amp;E </w:t>
      </w:r>
      <w:r>
        <w:t>include the following:</w:t>
      </w:r>
    </w:p>
    <w:p w:rsidR="005F3E29" w:rsidRPr="00215249" w:rsidRDefault="005F3E29" w:rsidP="005E7516">
      <w:pPr>
        <w:pStyle w:val="Bullets"/>
      </w:pPr>
      <w:r>
        <w:rPr>
          <w:i/>
        </w:rPr>
        <w:t>SDG&amp;E called many more events in 2012 than in 2011</w:t>
      </w:r>
      <w:r w:rsidR="00215249">
        <w:rPr>
          <w:i/>
        </w:rPr>
        <w:t>.</w:t>
      </w:r>
      <w:r>
        <w:rPr>
          <w:i/>
        </w:rPr>
        <w:t xml:space="preserve"> </w:t>
      </w:r>
      <w:r w:rsidR="00A72A4C">
        <w:rPr>
          <w:i/>
        </w:rPr>
        <w:t xml:space="preserve"> </w:t>
      </w:r>
      <w:r w:rsidR="00230675" w:rsidRPr="00230675">
        <w:t xml:space="preserve">Seven events were called in 2012 versus two in 2011.  Two of the events in 2012 were called on Saturdays.  SDG&amp;E </w:t>
      </w:r>
      <w:r w:rsidR="00BD145C">
        <w:t>wa</w:t>
      </w:r>
      <w:r w:rsidR="00230675" w:rsidRPr="00230675">
        <w:t>s the</w:t>
      </w:r>
      <w:r w:rsidR="00215249">
        <w:t> </w:t>
      </w:r>
      <w:r w:rsidR="00230675" w:rsidRPr="00230675">
        <w:t>only IOU to call Saturday events in 2012.</w:t>
      </w:r>
    </w:p>
    <w:p w:rsidR="005F3E29" w:rsidRDefault="00DF10DB" w:rsidP="005E7516">
      <w:pPr>
        <w:pStyle w:val="Bullets"/>
        <w:rPr>
          <w:i/>
        </w:rPr>
      </w:pPr>
      <w:r w:rsidRPr="009A62CE">
        <w:rPr>
          <w:i/>
        </w:rPr>
        <w:t xml:space="preserve">In aggregate, participants reduced demand by 6.0% across the </w:t>
      </w:r>
      <w:r w:rsidR="00BD145C">
        <w:rPr>
          <w:i/>
        </w:rPr>
        <w:t>11</w:t>
      </w:r>
      <w:r w:rsidRPr="009A62CE">
        <w:rPr>
          <w:i/>
        </w:rPr>
        <w:t xml:space="preserve"> to 6 </w:t>
      </w:r>
      <w:r w:rsidR="00215249">
        <w:rPr>
          <w:i/>
        </w:rPr>
        <w:t>PM</w:t>
      </w:r>
      <w:r w:rsidR="005F3E29">
        <w:rPr>
          <w:i/>
        </w:rPr>
        <w:t xml:space="preserve"> event window for the average weekday event, delivering 18.1</w:t>
      </w:r>
      <w:r w:rsidRPr="009A62CE">
        <w:rPr>
          <w:i/>
        </w:rPr>
        <w:t xml:space="preserve"> MW of demand reduction. </w:t>
      </w:r>
    </w:p>
    <w:p w:rsidR="00DF10DB" w:rsidRPr="005F3E29" w:rsidRDefault="005F3E29" w:rsidP="002B5AC6">
      <w:pPr>
        <w:pStyle w:val="Bullets"/>
      </w:pPr>
      <w:r>
        <w:rPr>
          <w:i/>
        </w:rPr>
        <w:lastRenderedPageBreak/>
        <w:t xml:space="preserve">CPP participants reduced demand by 6.3% across the event window during the average weekend event.  </w:t>
      </w:r>
      <w:r w:rsidRPr="005F3E29">
        <w:t>While</w:t>
      </w:r>
      <w:r>
        <w:t xml:space="preserve"> </w:t>
      </w:r>
      <w:r w:rsidRPr="005F3E29">
        <w:t>reference load</w:t>
      </w:r>
      <w:r w:rsidR="00BD145C">
        <w:t>s</w:t>
      </w:r>
      <w:r w:rsidRPr="005F3E29">
        <w:t xml:space="preserve"> w</w:t>
      </w:r>
      <w:r w:rsidR="00BD145C">
        <w:t>ere</w:t>
      </w:r>
      <w:r w:rsidRPr="005F3E29">
        <w:t xml:space="preserve"> lower during these weeke</w:t>
      </w:r>
      <w:r w:rsidR="0026741A">
        <w:t>nd events</w:t>
      </w:r>
      <w:r w:rsidRPr="005F3E29">
        <w:t>, demand response</w:t>
      </w:r>
      <w:r>
        <w:t xml:space="preserve"> on a percentage basis </w:t>
      </w:r>
      <w:r w:rsidR="00BD145C">
        <w:t xml:space="preserve">was similar to responsiveness on </w:t>
      </w:r>
      <w:r w:rsidRPr="005F3E29">
        <w:t xml:space="preserve">weekday </w:t>
      </w:r>
      <w:r w:rsidR="00BD145C">
        <w:t>events</w:t>
      </w:r>
      <w:r w:rsidRPr="005F3E29">
        <w:t>.</w:t>
      </w:r>
    </w:p>
    <w:p w:rsidR="00DF10DB" w:rsidRDefault="00DF10DB" w:rsidP="002B5AC6">
      <w:pPr>
        <w:pStyle w:val="Bullets"/>
      </w:pPr>
      <w:r w:rsidRPr="009A62CE">
        <w:rPr>
          <w:i/>
        </w:rPr>
        <w:t>The differences between individual event day results and average event day results are not statistically significan</w:t>
      </w:r>
      <w:r w:rsidR="0026741A">
        <w:rPr>
          <w:i/>
        </w:rPr>
        <w:t>t</w:t>
      </w:r>
      <w:r>
        <w:t>.</w:t>
      </w:r>
      <w:r w:rsidR="00215249">
        <w:t xml:space="preserve"> </w:t>
      </w:r>
      <w:r>
        <w:t xml:space="preserve"> Estimated demand reductions vary from </w:t>
      </w:r>
      <w:r w:rsidR="0026741A">
        <w:t>14.5</w:t>
      </w:r>
      <w:r>
        <w:t xml:space="preserve"> MW to </w:t>
      </w:r>
      <w:r w:rsidR="0026741A">
        <w:t>25.9</w:t>
      </w:r>
      <w:r>
        <w:t xml:space="preserve"> MW for individual events.  On a percentage basis</w:t>
      </w:r>
      <w:r w:rsidR="0026741A">
        <w:t>,</w:t>
      </w:r>
      <w:r>
        <w:t xml:space="preserve"> </w:t>
      </w:r>
      <w:r w:rsidR="00BD145C">
        <w:t xml:space="preserve">estimated </w:t>
      </w:r>
      <w:r>
        <w:t xml:space="preserve">demand reductions vary from </w:t>
      </w:r>
      <w:r w:rsidR="0026741A">
        <w:t>5.4% to 8.4</w:t>
      </w:r>
      <w:r>
        <w:t xml:space="preserve">%. </w:t>
      </w:r>
      <w:r w:rsidR="00215249">
        <w:t xml:space="preserve"> </w:t>
      </w:r>
      <w:r w:rsidR="00BD145C">
        <w:t xml:space="preserve">As with the other utility results, </w:t>
      </w:r>
      <w:r w:rsidR="003A2610" w:rsidRPr="003A2610">
        <w:t xml:space="preserve">day-to-day performance can vary, </w:t>
      </w:r>
      <w:r w:rsidR="003A2610">
        <w:t xml:space="preserve">but </w:t>
      </w:r>
      <w:r w:rsidR="0070711B">
        <w:t>most of the variation</w:t>
      </w:r>
      <w:r w:rsidR="003A2610" w:rsidRPr="003A2610">
        <w:t xml:space="preserve"> is explained by statistical uncertainty.</w:t>
      </w:r>
    </w:p>
    <w:p w:rsidR="0026741A" w:rsidRDefault="00BD145C" w:rsidP="002B5AC6">
      <w:pPr>
        <w:pStyle w:val="Bullets"/>
      </w:pPr>
      <w:r>
        <w:rPr>
          <w:i/>
        </w:rPr>
        <w:t>Unlike with PG&amp;E and SCE, there was more balance across industry segments in terms of the</w:t>
      </w:r>
      <w:r w:rsidR="0031055C">
        <w:rPr>
          <w:i/>
        </w:rPr>
        <w:t> </w:t>
      </w:r>
      <w:r>
        <w:rPr>
          <w:i/>
        </w:rPr>
        <w:t xml:space="preserve">share of overall aggregate demand reduction, load and enrollment.  </w:t>
      </w:r>
      <w:r w:rsidR="0026741A">
        <w:t xml:space="preserve">The largest SDG&amp;E industry sector </w:t>
      </w:r>
      <w:r>
        <w:t>was</w:t>
      </w:r>
      <w:r w:rsidR="0026741A">
        <w:t xml:space="preserve"> </w:t>
      </w:r>
      <w:r w:rsidR="0070711B">
        <w:t>comprised of o</w:t>
      </w:r>
      <w:r w:rsidR="0026741A">
        <w:t xml:space="preserve">ffices, </w:t>
      </w:r>
      <w:r w:rsidR="0070711B">
        <w:t>h</w:t>
      </w:r>
      <w:r w:rsidR="0026741A">
        <w:t xml:space="preserve">otels, </w:t>
      </w:r>
      <w:r w:rsidR="0070711B">
        <w:t>f</w:t>
      </w:r>
      <w:r w:rsidR="0026741A">
        <w:t xml:space="preserve">inance </w:t>
      </w:r>
      <w:r w:rsidR="0070711B">
        <w:t>and s</w:t>
      </w:r>
      <w:r w:rsidR="0026741A">
        <w:t xml:space="preserve">ervices, </w:t>
      </w:r>
      <w:r w:rsidR="0070711B">
        <w:t>which accounted for</w:t>
      </w:r>
      <w:r w:rsidR="0026741A">
        <w:t xml:space="preserve"> 31.5% of enrollment.  This sector also produce</w:t>
      </w:r>
      <w:r>
        <w:t>d</w:t>
      </w:r>
      <w:r w:rsidR="0026741A">
        <w:t xml:space="preserve"> 31.6% of the program’s load impacts.  On a percentage basis, the highest-performing industry </w:t>
      </w:r>
      <w:r>
        <w:t>was</w:t>
      </w:r>
      <w:r w:rsidR="0026741A">
        <w:t xml:space="preserve"> </w:t>
      </w:r>
      <w:r w:rsidR="00F50280">
        <w:t>w</w:t>
      </w:r>
      <w:r w:rsidR="0026741A">
        <w:t xml:space="preserve">holesale, </w:t>
      </w:r>
      <w:r w:rsidR="00F50280">
        <w:t>t</w:t>
      </w:r>
      <w:r w:rsidR="0026741A">
        <w:t xml:space="preserve">ransport </w:t>
      </w:r>
      <w:r w:rsidR="00F50280">
        <w:t>and</w:t>
      </w:r>
      <w:r w:rsidR="0026741A">
        <w:t xml:space="preserve"> </w:t>
      </w:r>
      <w:r w:rsidR="00F50280">
        <w:t>o</w:t>
      </w:r>
      <w:r w:rsidR="0026741A">
        <w:t xml:space="preserve">ther </w:t>
      </w:r>
      <w:r w:rsidR="00F50280">
        <w:t>u</w:t>
      </w:r>
      <w:r w:rsidR="0026741A">
        <w:t xml:space="preserve">tilities, </w:t>
      </w:r>
      <w:r>
        <w:t xml:space="preserve">with average load reductions of </w:t>
      </w:r>
      <w:r w:rsidR="0026741A">
        <w:t>12.0%.  These customers account</w:t>
      </w:r>
      <w:r>
        <w:t>ed</w:t>
      </w:r>
      <w:r w:rsidR="0026741A">
        <w:t xml:space="preserve"> for 14% of enrollment and 8.7% of the program’s reference load.</w:t>
      </w:r>
    </w:p>
    <w:p w:rsidR="00516E12" w:rsidRDefault="00516E12" w:rsidP="00516E12">
      <w:pPr>
        <w:pStyle w:val="Bullets"/>
      </w:pPr>
      <w:r w:rsidRPr="00340FC0">
        <w:rPr>
          <w:i/>
        </w:rPr>
        <w:t>Ex</w:t>
      </w:r>
      <w:r w:rsidR="00502446">
        <w:rPr>
          <w:i/>
        </w:rPr>
        <w:t xml:space="preserve"> </w:t>
      </w:r>
      <w:r w:rsidRPr="00340FC0">
        <w:rPr>
          <w:i/>
        </w:rPr>
        <w:t xml:space="preserve">ante impacts for SDG&amp;E’s large customers </w:t>
      </w:r>
      <w:r w:rsidR="00183374" w:rsidRPr="00340FC0">
        <w:rPr>
          <w:i/>
        </w:rPr>
        <w:t>are relatively constant from year to year.</w:t>
      </w:r>
      <w:r w:rsidR="00183374">
        <w:t xml:space="preserve"> </w:t>
      </w:r>
      <w:r w:rsidR="0031055C">
        <w:t xml:space="preserve"> </w:t>
      </w:r>
      <w:r>
        <w:t>The</w:t>
      </w:r>
      <w:r w:rsidR="0031055C">
        <w:t> </w:t>
      </w:r>
      <w:r>
        <w:t>aggregate 1-in-2 weather year demand reductions forecasted for 2013, 16.7 MW, do not differ</w:t>
      </w:r>
      <w:r w:rsidR="0031055C">
        <w:t> </w:t>
      </w:r>
      <w:r>
        <w:t>substantially from the 2023 forecast, 19.2 MW.  On a percentage basis, the demand reductions are identical to those observed in 2012 for the average event, 5.9%, for all forecast</w:t>
      </w:r>
      <w:r w:rsidR="0031055C">
        <w:t> </w:t>
      </w:r>
      <w:r>
        <w:t>years and weather year conditions.</w:t>
      </w:r>
    </w:p>
    <w:p w:rsidR="00516E12" w:rsidRDefault="00516E12" w:rsidP="00516E12">
      <w:pPr>
        <w:pStyle w:val="Bullets"/>
      </w:pPr>
      <w:r w:rsidRPr="00340FC0">
        <w:rPr>
          <w:i/>
        </w:rPr>
        <w:t>All SDG&amp;E’s medium customers are expected to be defaulted onto CPP in 2014</w:t>
      </w:r>
      <w:r>
        <w:t>, with forecasted enrollment decreases immediately after the initial default year followed by an increase thereafter.  However, the drop in enrollment is not accompanied by a corresponding decrease in forecasted impacts.  In fact, the demand reductions under 1-in-2</w:t>
      </w:r>
      <w:r w:rsidR="008E36A9">
        <w:t xml:space="preserve"> weather conditions for 2015, 16.9</w:t>
      </w:r>
      <w:r>
        <w:t> MW, are very simi</w:t>
      </w:r>
      <w:r w:rsidR="008E36A9">
        <w:t>lar to the 2014 forecast, 17.6</w:t>
      </w:r>
      <w:r>
        <w:t xml:space="preserve"> MW.</w:t>
      </w:r>
    </w:p>
    <w:p w:rsidR="001E3B5B" w:rsidRDefault="001E3B5B" w:rsidP="00340FC0">
      <w:pPr>
        <w:pStyle w:val="Bullets"/>
        <w:numPr>
          <w:ilvl w:val="0"/>
          <w:numId w:val="0"/>
        </w:numPr>
        <w:ind w:left="720"/>
      </w:pPr>
    </w:p>
    <w:p w:rsidR="001E3B5B" w:rsidRDefault="00924B67">
      <w:r>
        <w:br w:type="page"/>
      </w:r>
    </w:p>
    <w:p w:rsidR="00752687" w:rsidRDefault="002F7B0D" w:rsidP="00056D0A">
      <w:pPr>
        <w:pStyle w:val="Heading1"/>
      </w:pPr>
      <w:bookmarkStart w:id="39" w:name="_Toc352323621"/>
      <w:r w:rsidRPr="00056D0A">
        <w:lastRenderedPageBreak/>
        <w:t>Introduction</w:t>
      </w:r>
      <w:bookmarkEnd w:id="39"/>
    </w:p>
    <w:p w:rsidR="00D8636A" w:rsidRDefault="00D8636A" w:rsidP="00D8636A">
      <w:pPr>
        <w:pStyle w:val="BodyParagraph"/>
      </w:pPr>
      <w:r>
        <w:t xml:space="preserve">The 2012 statewide evaluation </w:t>
      </w:r>
      <w:r w:rsidR="003121A3">
        <w:t xml:space="preserve">of </w:t>
      </w:r>
      <w:r>
        <w:t>California</w:t>
      </w:r>
      <w:r w:rsidR="003121A3">
        <w:t>’s</w:t>
      </w:r>
      <w:r>
        <w:t xml:space="preserve"> non-residential CPP programs is designed to meet multiple objectives</w:t>
      </w:r>
      <w:r w:rsidR="003121A3">
        <w:t xml:space="preserve">.  The primary objective is to develop </w:t>
      </w:r>
      <w:r>
        <w:t xml:space="preserve">ex post and ex ante load impact estimates </w:t>
      </w:r>
      <w:r w:rsidR="003121A3">
        <w:t>for</w:t>
      </w:r>
      <w:r w:rsidR="00874CA9">
        <w:t> </w:t>
      </w:r>
      <w:r w:rsidR="003121A3">
        <w:t xml:space="preserve">each utility.  </w:t>
      </w:r>
      <w:r>
        <w:t xml:space="preserve"> </w:t>
      </w:r>
    </w:p>
    <w:p w:rsidR="00D8636A" w:rsidRDefault="00D8636A" w:rsidP="00D8636A">
      <w:pPr>
        <w:pStyle w:val="BodyBeforeBullet"/>
      </w:pPr>
      <w:r>
        <w:t xml:space="preserve">The ex post estimates presented in this report represent CPP performance </w:t>
      </w:r>
      <w:r w:rsidR="004D3E97">
        <w:t xml:space="preserve">for events called in </w:t>
      </w:r>
      <w:r w:rsidR="00D96FBD">
        <w:t xml:space="preserve">the </w:t>
      </w:r>
      <w:r>
        <w:t xml:space="preserve">2012 calendar year and reflect the specific system, dispatch, enrollment, weather and economic conditions that were in effect at each utility </w:t>
      </w:r>
      <w:r w:rsidR="004D3E97">
        <w:t xml:space="preserve">on those event days.  These estimated impacts are not necessarily reflective of what could </w:t>
      </w:r>
      <w:r>
        <w:t xml:space="preserve">be expected under conditions that </w:t>
      </w:r>
      <w:r w:rsidR="004D3E97">
        <w:t xml:space="preserve">might occur </w:t>
      </w:r>
      <w:r>
        <w:t>in the future.  Ex ante load impacts, however, are forward looking and are designed to reflect the load reduction capability of the CPP program under a standard set of system and resource planning conditions.  Typically, ex ante estimates are based on the ex post analysis, but the ex ante estimat</w:t>
      </w:r>
      <w:r w:rsidR="004D3E97">
        <w:t xml:space="preserve">es </w:t>
      </w:r>
      <w:r>
        <w:t>require adjust</w:t>
      </w:r>
      <w:r w:rsidR="004D3E97">
        <w:t xml:space="preserve">ments </w:t>
      </w:r>
      <w:r>
        <w:t>to reflect appropriate ex ante conditions.  Ex ante load impacts are not only important for system and resource planning but also for comparing load impacts across CPP programs and for cost-effectiveness analyses.</w:t>
      </w:r>
    </w:p>
    <w:p w:rsidR="00D8636A" w:rsidRDefault="00D8636A" w:rsidP="00D8636A">
      <w:pPr>
        <w:pStyle w:val="BodyBeforeBullet"/>
      </w:pPr>
    </w:p>
    <w:p w:rsidR="00D8636A" w:rsidRDefault="004D3E97" w:rsidP="00D8636A">
      <w:pPr>
        <w:pStyle w:val="BodyBeforeBullet"/>
      </w:pPr>
      <w:r>
        <w:t>T</w:t>
      </w:r>
      <w:r w:rsidR="00D8636A">
        <w:t xml:space="preserve">his evaluation is designed to address </w:t>
      </w:r>
      <w:r>
        <w:t xml:space="preserve">the following </w:t>
      </w:r>
      <w:r w:rsidR="00D8636A">
        <w:t>research questions:</w:t>
      </w:r>
    </w:p>
    <w:p w:rsidR="00D8636A" w:rsidRDefault="00D8636A" w:rsidP="00D8636A">
      <w:pPr>
        <w:pStyle w:val="Bullets"/>
      </w:pPr>
      <w:r>
        <w:t xml:space="preserve">What amount of </w:t>
      </w:r>
      <w:r w:rsidRPr="004F7857">
        <w:t xml:space="preserve">demand </w:t>
      </w:r>
      <w:r>
        <w:t xml:space="preserve">did CPP participants reduce at each utility during 2012 activation events (ex post impacts)? </w:t>
      </w:r>
    </w:p>
    <w:p w:rsidR="00D8636A" w:rsidRDefault="00D8636A" w:rsidP="00D8636A">
      <w:pPr>
        <w:pStyle w:val="Bullets"/>
      </w:pPr>
      <w:r>
        <w:t>Did the estimated demand reductions vary across events and did they vary by temperature conditions?</w:t>
      </w:r>
    </w:p>
    <w:p w:rsidR="00D8636A" w:rsidRDefault="00D8636A" w:rsidP="00D8636A">
      <w:pPr>
        <w:pStyle w:val="Bullets"/>
      </w:pPr>
      <w:r>
        <w:t xml:space="preserve">How do the number of accounts, load, demand reductions and performance vary across different industry, location and customer size categories?  </w:t>
      </w:r>
    </w:p>
    <w:p w:rsidR="00D8636A" w:rsidRDefault="00D8636A" w:rsidP="00D8636A">
      <w:pPr>
        <w:pStyle w:val="Bullets"/>
      </w:pPr>
      <w:r>
        <w:t>Do demand reductions vary based on the presence of enabling technology and/or participation in other DR programs?</w:t>
      </w:r>
    </w:p>
    <w:p w:rsidR="00D8636A" w:rsidRDefault="00D8636A" w:rsidP="00D8636A">
      <w:pPr>
        <w:pStyle w:val="Bullets"/>
      </w:pPr>
      <w:r>
        <w:t xml:space="preserve">Have </w:t>
      </w:r>
      <w:r w:rsidRPr="00E45445">
        <w:t>customer demand reductions grow</w:t>
      </w:r>
      <w:r>
        <w:t>n</w:t>
      </w:r>
      <w:r w:rsidRPr="00E45445">
        <w:t>, decrease</w:t>
      </w:r>
      <w:r>
        <w:t>d</w:t>
      </w:r>
      <w:r w:rsidRPr="00E45445">
        <w:t xml:space="preserve"> or remain</w:t>
      </w:r>
      <w:r>
        <w:t>ed</w:t>
      </w:r>
      <w:r w:rsidRPr="00E45445">
        <w:t xml:space="preserve"> constant </w:t>
      </w:r>
      <w:r>
        <w:t>across years?</w:t>
      </w:r>
    </w:p>
    <w:p w:rsidR="00D8636A" w:rsidRDefault="00D8636A" w:rsidP="00D8636A">
      <w:pPr>
        <w:pStyle w:val="Bullets"/>
      </w:pPr>
      <w:r>
        <w:t xml:space="preserve">What amount of demand reduction can CPP rates provide under normal (1-in-2) and extreme (1-in-10) peaking conditions? </w:t>
      </w:r>
    </w:p>
    <w:p w:rsidR="00D8636A" w:rsidRDefault="00D8636A" w:rsidP="00D8636A">
      <w:pPr>
        <w:pStyle w:val="BulletLast"/>
      </w:pPr>
      <w:r>
        <w:t xml:space="preserve">How are CPP demand reduction resources forecasted to change in future years?  How much of the forecasted change is due to changes in program enrollment and/or the implementation of default CPP for medium businesses? </w:t>
      </w:r>
    </w:p>
    <w:p w:rsidR="00681EA7" w:rsidRDefault="004D3E97">
      <w:pPr>
        <w:pStyle w:val="BodyParagraph"/>
      </w:pPr>
      <w:r>
        <w:t xml:space="preserve">This report draft only addresses the first four questions.  </w:t>
      </w:r>
    </w:p>
    <w:p w:rsidR="00D8636A" w:rsidRPr="00D8636A" w:rsidRDefault="00D8636A" w:rsidP="001C4623">
      <w:pPr>
        <w:pStyle w:val="Heading2"/>
      </w:pPr>
      <w:bookmarkStart w:id="40" w:name="_Toc352323622"/>
      <w:r>
        <w:t>Non-</w:t>
      </w:r>
      <w:r w:rsidRPr="001C4623">
        <w:t>residential</w:t>
      </w:r>
      <w:r>
        <w:t xml:space="preserve"> CPP Programs at California IOUs</w:t>
      </w:r>
      <w:bookmarkEnd w:id="40"/>
    </w:p>
    <w:p w:rsidR="00924B67" w:rsidRDefault="004D3E97" w:rsidP="00825D79">
      <w:pPr>
        <w:pStyle w:val="BodyParagraph"/>
      </w:pPr>
      <w:r>
        <w:t>Critical Peak Pricing is an electric rate in which a utility charges a higher price for consumption of</w:t>
      </w:r>
      <w:r w:rsidR="00874CA9">
        <w:t> </w:t>
      </w:r>
      <w:r>
        <w:t xml:space="preserve">electricity during peak hours on selected days, referred to as critical peak days or event days.  Typically, CPP hours coincide with the utility’s peak demand and CPP days are called 5 to 15 times a year when demand is high and supply is short.  The </w:t>
      </w:r>
      <w:r w:rsidRPr="00DE0AB2">
        <w:t xml:space="preserve">higher price during </w:t>
      </w:r>
      <w:r>
        <w:t xml:space="preserve">peak hours on </w:t>
      </w:r>
      <w:r w:rsidRPr="00DE0AB2">
        <w:t>critical event days</w:t>
      </w:r>
      <w:r>
        <w:t xml:space="preserve"> is</w:t>
      </w:r>
      <w:r w:rsidRPr="007A1B78">
        <w:t xml:space="preserve"> </w:t>
      </w:r>
      <w:r>
        <w:t>designed to encourage reductions in demand and reflects the fact that electric demand during those hours drives a substantial portion of electric infrastructure costs.  Compared with non-CPP tariffs, the higher CPP prices are typically offset by reductions in energy prices during non-peak hours, reductions in demand charges or both</w:t>
      </w:r>
      <w:r w:rsidR="00924B67">
        <w:t>.</w:t>
      </w:r>
      <w:r w:rsidR="007D3A89" w:rsidRPr="007D3A89">
        <w:t xml:space="preserve"> </w:t>
      </w:r>
      <w:r w:rsidR="007D3A89">
        <w:t xml:space="preserve"> For all three IOUs, CPP rates were also available for small commercial and medium C&amp;I customers on an opt-in basis, but most customers taking electric service </w:t>
      </w:r>
      <w:r w:rsidR="007D3A89">
        <w:lastRenderedPageBreak/>
        <w:t xml:space="preserve">under CPP rates in 2012 were large C&amp;I customers that were </w:t>
      </w:r>
      <w:r w:rsidR="007D3A89" w:rsidRPr="00856B7A">
        <w:t>defa</w:t>
      </w:r>
      <w:r w:rsidR="007D3A89">
        <w:t>ulted onto CPP.  Most of these customers were previously on TOU</w:t>
      </w:r>
      <w:r w:rsidR="007D3A89" w:rsidRPr="00856B7A">
        <w:t xml:space="preserve"> rates that already provided incentives to shift or reduce electricity usage during peak</w:t>
      </w:r>
      <w:r w:rsidR="007D3A89">
        <w:t> </w:t>
      </w:r>
      <w:r w:rsidR="007D3A89" w:rsidRPr="00856B7A">
        <w:t>periods.</w:t>
      </w:r>
      <w:r w:rsidR="00924B67">
        <w:rPr>
          <w:rStyle w:val="FootnoteReference"/>
        </w:rPr>
        <w:footnoteReference w:id="3"/>
      </w:r>
      <w:r w:rsidR="00924B67">
        <w:t xml:space="preserve">  </w:t>
      </w:r>
      <w:r w:rsidR="00924B67" w:rsidRPr="00856B7A">
        <w:t xml:space="preserve"> </w:t>
      </w:r>
      <w:r w:rsidR="00924B67">
        <w:t xml:space="preserve"> </w:t>
      </w:r>
    </w:p>
    <w:p w:rsidR="00924B67" w:rsidRDefault="007D3A89" w:rsidP="00924B67">
      <w:pPr>
        <w:pStyle w:val="BodyBeforeBullet"/>
      </w:pPr>
      <w:r>
        <w:t>In 2009, t</w:t>
      </w:r>
      <w:r w:rsidR="00924B67">
        <w:t>he California Public Utilities Commission (CPUC) issued rate design guidance for dynamic pricing tariffs</w:t>
      </w:r>
      <w:r w:rsidR="003D1817">
        <w:t>, such as CPP</w:t>
      </w:r>
      <w:r w:rsidR="00924B67">
        <w:t xml:space="preserve"> </w:t>
      </w:r>
      <w:r w:rsidR="00924B67" w:rsidRPr="000C3991">
        <w:t>(</w:t>
      </w:r>
      <w:r w:rsidR="00924B67">
        <w:t>CPUC decision (D.) 10-02-032</w:t>
      </w:r>
      <w:r w:rsidR="00924B67" w:rsidRPr="000C3991">
        <w:t>)</w:t>
      </w:r>
      <w:r w:rsidR="00924B67">
        <w:t>.  The decision standardized several key elements of dynamic pricing rate design for California IOUs:</w:t>
      </w:r>
    </w:p>
    <w:p w:rsidR="00924B67" w:rsidRPr="005C465D" w:rsidRDefault="00924B67" w:rsidP="00924B67">
      <w:pPr>
        <w:pStyle w:val="Bullets"/>
      </w:pPr>
      <w:r w:rsidRPr="005C465D">
        <w:t>The default tariff for large</w:t>
      </w:r>
      <w:r w:rsidR="00956A2E">
        <w:t xml:space="preserve"> and</w:t>
      </w:r>
      <w:r w:rsidRPr="005C465D">
        <w:t xml:space="preserve"> medium commercial and industrial customers </w:t>
      </w:r>
      <w:r w:rsidR="007D3A89">
        <w:t>must</w:t>
      </w:r>
      <w:r w:rsidRPr="005C465D">
        <w:t xml:space="preserve"> be a dynamic pricing tariff;</w:t>
      </w:r>
    </w:p>
    <w:p w:rsidR="00924B67" w:rsidRDefault="00924B67" w:rsidP="00924B67">
      <w:pPr>
        <w:pStyle w:val="Bullets"/>
      </w:pPr>
      <w:r>
        <w:t xml:space="preserve">Default rates </w:t>
      </w:r>
      <w:r w:rsidR="007D3A89">
        <w:t>must</w:t>
      </w:r>
      <w:r>
        <w:t xml:space="preserve"> include a high price during peak periods on a limited number of critical event days and </w:t>
      </w:r>
      <w:r w:rsidR="00874CA9">
        <w:t>TOU</w:t>
      </w:r>
      <w:r>
        <w:t xml:space="preserve"> rates on non-event days;</w:t>
      </w:r>
    </w:p>
    <w:p w:rsidR="00924B67" w:rsidRDefault="00924B67" w:rsidP="00924B67">
      <w:pPr>
        <w:pStyle w:val="Bullets"/>
      </w:pPr>
      <w:r>
        <w:t>The opt-out tariff for all non-residential default customers should be a time varying rate – in other words, there should no longer be a flat rate option for non-residential customers once the default schedule is completed;</w:t>
      </w:r>
    </w:p>
    <w:p w:rsidR="00924B67" w:rsidRDefault="00924B67" w:rsidP="00924B67">
      <w:pPr>
        <w:pStyle w:val="Bullets"/>
      </w:pPr>
      <w:r w:rsidRPr="00FE02DB">
        <w:t xml:space="preserve">The critical peak price should represent the </w:t>
      </w:r>
      <w:r>
        <w:t>c</w:t>
      </w:r>
      <w:r w:rsidRPr="00FE02DB">
        <w:t xml:space="preserve">ost of capacity </w:t>
      </w:r>
      <w:r w:rsidR="007D3A89">
        <w:t>required</w:t>
      </w:r>
      <w:r w:rsidRPr="00FE02DB">
        <w:t xml:space="preserve"> to meet peak energy needs plus the marginal cost of energy </w:t>
      </w:r>
      <w:r>
        <w:t>– in essence, all capacity value should be allocated to</w:t>
      </w:r>
      <w:r w:rsidR="00874CA9">
        <w:t> </w:t>
      </w:r>
      <w:r>
        <w:t>peak period hours on critical event days; and</w:t>
      </w:r>
    </w:p>
    <w:p w:rsidR="00924B67" w:rsidRDefault="007D3A89" w:rsidP="00924B67">
      <w:pPr>
        <w:pStyle w:val="BulletLast"/>
      </w:pPr>
      <w:r>
        <w:t>U</w:t>
      </w:r>
      <w:r w:rsidR="00924B67">
        <w:t>tilities should offer first year bill protection to customers defaulted onto dynamic rates.</w:t>
      </w:r>
    </w:p>
    <w:p w:rsidR="00924B67" w:rsidRDefault="00924B67" w:rsidP="00924B67">
      <w:pPr>
        <w:pStyle w:val="BodyParagraph"/>
      </w:pPr>
      <w:r>
        <w:t>The dec</w:t>
      </w:r>
      <w:r w:rsidR="00DF3825">
        <w:t>ision also served to standardize other</w:t>
      </w:r>
      <w:r>
        <w:t xml:space="preserve"> aspects of rate design affecting non-residential customers, including components of the default process and a schedule for each utility’s imp</w:t>
      </w:r>
      <w:r w:rsidR="00DF3825">
        <w:t>lementation of dynamic pricing across all customer classes.</w:t>
      </w:r>
    </w:p>
    <w:p w:rsidR="00924B67" w:rsidRDefault="00924B67" w:rsidP="00924B67">
      <w:pPr>
        <w:pStyle w:val="BodyBeforeBullet"/>
        <w:rPr>
          <w:lang w:val="en-CA"/>
        </w:rPr>
      </w:pPr>
      <w:r>
        <w:rPr>
          <w:lang w:val="en-CA"/>
        </w:rPr>
        <w:t>PG&amp;E, SCE and SDG&amp;E have</w:t>
      </w:r>
      <w:r w:rsidR="00D96FBD">
        <w:rPr>
          <w:lang w:val="en-CA"/>
        </w:rPr>
        <w:t xml:space="preserve"> </w:t>
      </w:r>
      <w:r>
        <w:rPr>
          <w:lang w:val="en-CA"/>
        </w:rPr>
        <w:t>developed CPP tariff</w:t>
      </w:r>
      <w:r w:rsidRPr="00C030E8">
        <w:rPr>
          <w:lang w:val="en-CA"/>
        </w:rPr>
        <w:t>s</w:t>
      </w:r>
      <w:r>
        <w:rPr>
          <w:lang w:val="en-CA"/>
        </w:rPr>
        <w:t xml:space="preserve"> that adhere to the principles and direction provided by D.10-02-032.  However, many </w:t>
      </w:r>
      <w:r w:rsidRPr="00C030E8">
        <w:rPr>
          <w:lang w:val="en-CA"/>
        </w:rPr>
        <w:t xml:space="preserve">details </w:t>
      </w:r>
      <w:r>
        <w:rPr>
          <w:lang w:val="en-CA"/>
        </w:rPr>
        <w:t>of the CPP tariff</w:t>
      </w:r>
      <w:r w:rsidR="00D96FBD">
        <w:rPr>
          <w:lang w:val="en-CA"/>
        </w:rPr>
        <w:t>s</w:t>
      </w:r>
      <w:r>
        <w:rPr>
          <w:lang w:val="en-CA"/>
        </w:rPr>
        <w:t xml:space="preserve"> still vary across utilities.  Among the important differences are:</w:t>
      </w:r>
    </w:p>
    <w:p w:rsidR="00924B67" w:rsidRDefault="00924B67" w:rsidP="00924B67">
      <w:pPr>
        <w:pStyle w:val="Bullets"/>
      </w:pPr>
      <w:r>
        <w:rPr>
          <w:lang w:val="en-CA"/>
        </w:rPr>
        <w:t xml:space="preserve">The rate design window schedule for each IOU caused the CPP rates to be implemented at different times.  </w:t>
      </w:r>
      <w:r w:rsidRPr="00474343">
        <w:t xml:space="preserve">SDG&amp;E </w:t>
      </w:r>
      <w:r>
        <w:t xml:space="preserve">was the first to default customers onto a CPP tariff, </w:t>
      </w:r>
      <w:r w:rsidRPr="00474343">
        <w:t>on May 1, 2008.  SCE began defaulting custome</w:t>
      </w:r>
      <w:r>
        <w:t>rs onto CPP i</w:t>
      </w:r>
      <w:r w:rsidRPr="00474343">
        <w:t>n October 2009</w:t>
      </w:r>
      <w:r>
        <w:t xml:space="preserve">, 18 months later and PG&amp;E began defaulting customers in May 2010. </w:t>
      </w:r>
    </w:p>
    <w:p w:rsidR="00924B67" w:rsidRDefault="00924B67" w:rsidP="00924B67">
      <w:pPr>
        <w:pStyle w:val="Bullets"/>
      </w:pPr>
      <w:r>
        <w:t xml:space="preserve">SDG&amp;E defaulted customers whose maximum demand </w:t>
      </w:r>
      <w:r w:rsidRPr="00C030E8">
        <w:t>exceed</w:t>
      </w:r>
      <w:r>
        <w:t>ed</w:t>
      </w:r>
      <w:r w:rsidRPr="00C030E8">
        <w:t xml:space="preserve"> 20 kW for </w:t>
      </w:r>
      <w:r>
        <w:t xml:space="preserve">the prior </w:t>
      </w:r>
      <w:r w:rsidRPr="00C030E8">
        <w:t>12 con</w:t>
      </w:r>
      <w:r>
        <w:t xml:space="preserve">secutive months.  PG&amp;E defaulted </w:t>
      </w:r>
      <w:r w:rsidRPr="00C030E8">
        <w:t xml:space="preserve">customers </w:t>
      </w:r>
      <w:r>
        <w:t xml:space="preserve">with maximum demand that </w:t>
      </w:r>
      <w:r w:rsidRPr="00C030E8">
        <w:t>exceed</w:t>
      </w:r>
      <w:r>
        <w:t>ed</w:t>
      </w:r>
      <w:r w:rsidRPr="00C030E8">
        <w:t xml:space="preserve"> 200 </w:t>
      </w:r>
      <w:r>
        <w:t>kW for 3 consecutive months in the p</w:t>
      </w:r>
      <w:r w:rsidR="00D96FBD">
        <w:t>rior</w:t>
      </w:r>
      <w:r>
        <w:t xml:space="preserve"> year</w:t>
      </w:r>
      <w:r w:rsidRPr="00C030E8">
        <w:t xml:space="preserve">.  </w:t>
      </w:r>
      <w:r>
        <w:t xml:space="preserve">In addition, PG&amp;E transitioned approximately 110 small customers </w:t>
      </w:r>
      <w:r w:rsidR="00D96FBD">
        <w:t>that had</w:t>
      </w:r>
      <w:r>
        <w:t xml:space="preserve"> voluntarily enrolled on SmartRate, a pure CPP tariff, to the new CPP/TOU tariff.  </w:t>
      </w:r>
      <w:r w:rsidRPr="00C030E8">
        <w:t>S</w:t>
      </w:r>
      <w:r>
        <w:t>CE required</w:t>
      </w:r>
      <w:r w:rsidRPr="00C030E8">
        <w:t xml:space="preserve"> only that a customer’s monthly </w:t>
      </w:r>
      <w:r w:rsidR="00D96FBD">
        <w:t>m</w:t>
      </w:r>
      <w:r w:rsidRPr="00C030E8">
        <w:t xml:space="preserve">aximum </w:t>
      </w:r>
      <w:r w:rsidR="00D96FBD">
        <w:t>d</w:t>
      </w:r>
      <w:r w:rsidRPr="00C030E8">
        <w:t xml:space="preserve">emand </w:t>
      </w:r>
      <w:r>
        <w:t xml:space="preserve">exceed </w:t>
      </w:r>
      <w:r w:rsidRPr="00C030E8">
        <w:t>200</w:t>
      </w:r>
      <w:r w:rsidR="00874CA9">
        <w:t> </w:t>
      </w:r>
      <w:r w:rsidRPr="00C030E8">
        <w:t xml:space="preserve">kW. </w:t>
      </w:r>
    </w:p>
    <w:p w:rsidR="00924B67" w:rsidRDefault="00924B67" w:rsidP="00924B67">
      <w:pPr>
        <w:pStyle w:val="Bullets"/>
      </w:pPr>
      <w:r w:rsidRPr="00C030E8">
        <w:t>At SDG&amp;</w:t>
      </w:r>
      <w:r>
        <w:t>E,</w:t>
      </w:r>
      <w:r w:rsidRPr="00C030E8">
        <w:t xml:space="preserve"> customers </w:t>
      </w:r>
      <w:r>
        <w:t>are</w:t>
      </w:r>
      <w:r w:rsidRPr="00C030E8">
        <w:t xml:space="preserve"> locked into the </w:t>
      </w:r>
      <w:r>
        <w:t xml:space="preserve">CPP </w:t>
      </w:r>
      <w:r w:rsidRPr="00C030E8">
        <w:t xml:space="preserve">rate for </w:t>
      </w:r>
      <w:r>
        <w:t xml:space="preserve">a full year if they do not opt out </w:t>
      </w:r>
      <w:r w:rsidR="006514E9">
        <w:t>prior</w:t>
      </w:r>
      <w:r w:rsidR="00874CA9">
        <w:t> </w:t>
      </w:r>
      <w:r w:rsidR="006514E9">
        <w:t>to</w:t>
      </w:r>
      <w:r w:rsidR="00874CA9">
        <w:t> </w:t>
      </w:r>
      <w:r w:rsidR="006514E9">
        <w:t>going on the default rate</w:t>
      </w:r>
      <w:r>
        <w:t>,</w:t>
      </w:r>
      <w:r w:rsidR="001777B3">
        <w:t> </w:t>
      </w:r>
      <w:r>
        <w:t>while</w:t>
      </w:r>
      <w:r w:rsidRPr="00C030E8">
        <w:t xml:space="preserve"> cust</w:t>
      </w:r>
      <w:r>
        <w:t xml:space="preserve">omers can opt out at </w:t>
      </w:r>
      <w:r w:rsidRPr="00C030E8">
        <w:t>anytime</w:t>
      </w:r>
      <w:r>
        <w:t xml:space="preserve"> at PG&amp;E and SCE</w:t>
      </w:r>
      <w:r w:rsidR="006514E9">
        <w:t xml:space="preserve">.  However, at these utilities, customers must forgo </w:t>
      </w:r>
      <w:r>
        <w:t>bill protection if they leave the CPP rate during the first year</w:t>
      </w:r>
      <w:r w:rsidR="006514E9">
        <w:t xml:space="preserve"> when bill protection is in effect</w:t>
      </w:r>
      <w:r>
        <w:t>.</w:t>
      </w:r>
    </w:p>
    <w:p w:rsidR="00924B67" w:rsidRDefault="00924B67" w:rsidP="00924B67">
      <w:pPr>
        <w:pStyle w:val="Bullets"/>
      </w:pPr>
      <w:r w:rsidRPr="00C030E8">
        <w:t xml:space="preserve">SCE and PG&amp;E </w:t>
      </w:r>
      <w:r>
        <w:t xml:space="preserve">share </w:t>
      </w:r>
      <w:r w:rsidRPr="00C030E8">
        <w:t>the same event hours</w:t>
      </w:r>
      <w:r>
        <w:t>,</w:t>
      </w:r>
      <w:r w:rsidRPr="00C030E8">
        <w:t xml:space="preserve"> 2 </w:t>
      </w:r>
      <w:r>
        <w:t>PM</w:t>
      </w:r>
      <w:r w:rsidRPr="00C030E8">
        <w:t xml:space="preserve"> to 6 </w:t>
      </w:r>
      <w:r>
        <w:t>PM, although a small number of customers in PG&amp;E’s service territory have elected a 12 PM to 6 PM event window with reduced credits and CPP charges</w:t>
      </w:r>
      <w:r w:rsidRPr="00C030E8">
        <w:t xml:space="preserve">.  </w:t>
      </w:r>
      <w:r>
        <w:t>SCE and PG&amp;E</w:t>
      </w:r>
      <w:r w:rsidRPr="00C030E8">
        <w:t xml:space="preserve"> also share the same TOU peak period hours</w:t>
      </w:r>
      <w:r>
        <w:t>,</w:t>
      </w:r>
      <w:r w:rsidRPr="00C030E8">
        <w:t xml:space="preserve"> </w:t>
      </w:r>
      <w:r w:rsidRPr="00C030E8">
        <w:lastRenderedPageBreak/>
        <w:t xml:space="preserve">12 </w:t>
      </w:r>
      <w:r>
        <w:t>PM</w:t>
      </w:r>
      <w:r w:rsidRPr="00C030E8">
        <w:t xml:space="preserve"> to 6 </w:t>
      </w:r>
      <w:r>
        <w:t>PM</w:t>
      </w:r>
      <w:r w:rsidRPr="00C030E8">
        <w:t xml:space="preserve">, Monday through </w:t>
      </w:r>
      <w:r>
        <w:t>Friday.  For SDG&amp;E, both the CPP</w:t>
      </w:r>
      <w:r w:rsidRPr="00C030E8">
        <w:t xml:space="preserve"> event period hours and TOU peak period hours are </w:t>
      </w:r>
      <w:r>
        <w:t xml:space="preserve">from </w:t>
      </w:r>
      <w:r w:rsidRPr="00C030E8">
        <w:t xml:space="preserve">11 </w:t>
      </w:r>
      <w:r>
        <w:t>AM</w:t>
      </w:r>
      <w:r w:rsidRPr="00C030E8">
        <w:t xml:space="preserve"> to 6</w:t>
      </w:r>
      <w:r>
        <w:t> PM</w:t>
      </w:r>
      <w:r w:rsidRPr="00C030E8">
        <w:t xml:space="preserve">. </w:t>
      </w:r>
    </w:p>
    <w:p w:rsidR="00924B67" w:rsidRDefault="00924B67" w:rsidP="00924B67">
      <w:pPr>
        <w:pStyle w:val="Bullets"/>
      </w:pPr>
      <w:r>
        <w:t>PG&amp;E and SDG&amp;E can</w:t>
      </w:r>
      <w:r w:rsidRPr="00C030E8">
        <w:t xml:space="preserve"> call </w:t>
      </w:r>
      <w:r>
        <w:t xml:space="preserve">CPP </w:t>
      </w:r>
      <w:r w:rsidRPr="00C030E8">
        <w:t xml:space="preserve">events </w:t>
      </w:r>
      <w:r>
        <w:t>throughout the calendar year</w:t>
      </w:r>
      <w:r w:rsidRPr="00C030E8">
        <w:t xml:space="preserve"> and on any day of the week</w:t>
      </w:r>
      <w:r>
        <w:t>, while SCE only calls events on non-holiday summer weekdays</w:t>
      </w:r>
      <w:r w:rsidRPr="00C030E8">
        <w:t>.  PG&amp;E and SCE are committed to a minimum of</w:t>
      </w:r>
      <w:r>
        <w:t xml:space="preserve"> 9 and a maximum of 15</w:t>
      </w:r>
      <w:r w:rsidRPr="00C030E8">
        <w:t xml:space="preserve"> events each year.  SDG&amp;E is committed to a maximum of 18 </w:t>
      </w:r>
      <w:r>
        <w:t>events with</w:t>
      </w:r>
      <w:r w:rsidRPr="00C030E8">
        <w:t xml:space="preserve"> no minimum.  </w:t>
      </w:r>
    </w:p>
    <w:p w:rsidR="00924B67" w:rsidRDefault="00924B67" w:rsidP="00924B67">
      <w:pPr>
        <w:pStyle w:val="Bullets"/>
        <w:keepNext/>
      </w:pPr>
      <w:r w:rsidRPr="00C030E8">
        <w:t xml:space="preserve">PG&amp;E attempts to notify customers via phone, email, pager or text by 2 </w:t>
      </w:r>
      <w:r>
        <w:t>PM</w:t>
      </w:r>
      <w:r w:rsidRPr="00C030E8">
        <w:t xml:space="preserve"> on the day before </w:t>
      </w:r>
      <w:r w:rsidR="006514E9">
        <w:t xml:space="preserve">an </w:t>
      </w:r>
      <w:r w:rsidRPr="00C030E8">
        <w:t xml:space="preserve">event, while SCE and SDG&amp;E attempt to notify </w:t>
      </w:r>
      <w:r>
        <w:t>customers by 3 PM</w:t>
      </w:r>
      <w:r w:rsidRPr="00C030E8">
        <w:t xml:space="preserve"> the day before.  </w:t>
      </w:r>
    </w:p>
    <w:p w:rsidR="00924B67" w:rsidRDefault="00924B67" w:rsidP="00924B67">
      <w:pPr>
        <w:pStyle w:val="BulletLast"/>
      </w:pPr>
      <w:r>
        <w:t xml:space="preserve">PG&amp;E and SDG&amp;E offer customers the ability to </w:t>
      </w:r>
      <w:r w:rsidR="006514E9">
        <w:t xml:space="preserve">hedge </w:t>
      </w:r>
      <w:r>
        <w:t xml:space="preserve">part or all of their demand against higher CPP prices – a feature </w:t>
      </w:r>
      <w:r w:rsidR="00DF3825">
        <w:t>known as a Capacity Reservation</w:t>
      </w:r>
      <w:r>
        <w:t xml:space="preserve"> – while SCE has not yet implemented this feature.</w:t>
      </w:r>
      <w:r w:rsidRPr="00C030E8">
        <w:t xml:space="preserve">  </w:t>
      </w:r>
    </w:p>
    <w:p w:rsidR="00924B67" w:rsidRDefault="00924B67" w:rsidP="00924B67">
      <w:pPr>
        <w:pStyle w:val="BodyParagraph"/>
      </w:pPr>
      <w:r>
        <w:t>The default enrollment process differed significantly across utilities.  At PG&amp;E, more than 5,000 accounts were scheduled to be defaulted onto CPP, but the majority of them migrated to a TOU rate</w:t>
      </w:r>
      <w:r w:rsidR="00874CA9">
        <w:t> </w:t>
      </w:r>
      <w:r>
        <w:t xml:space="preserve">before being placed on the CPP tariff.  By the end of summer 2011, approximately 1,750 PG&amp;E accounts remained on default CPP.  </w:t>
      </w:r>
      <w:r w:rsidR="00461621">
        <w:t xml:space="preserve">PG&amp;E’s 2012 enrollment averaged 1,587 customers.  </w:t>
      </w:r>
      <w:r>
        <w:t xml:space="preserve">At SCE, most of the 8,000 eligible accounts were placed on default CPP in the fall of 2009, but nearly half of them opted out to TOU before the first summer period.  By the end of </w:t>
      </w:r>
      <w:r w:rsidR="001777B3">
        <w:t xml:space="preserve">summer </w:t>
      </w:r>
      <w:r>
        <w:t>2011, roughly 3,000 a</w:t>
      </w:r>
      <w:r w:rsidR="00DF3825">
        <w:t xml:space="preserve">ccounts remained on default CPP, and by the end of 2012, </w:t>
      </w:r>
      <w:r w:rsidR="00461621">
        <w:t xml:space="preserve">2,508 customers were </w:t>
      </w:r>
      <w:r w:rsidR="006514E9">
        <w:t xml:space="preserve">still on </w:t>
      </w:r>
      <w:r w:rsidR="00461621">
        <w:t xml:space="preserve">the CPP rate.  </w:t>
      </w:r>
      <w:r>
        <w:t>By the end of 2011</w:t>
      </w:r>
      <w:r w:rsidR="001777B3">
        <w:t>,</w:t>
      </w:r>
      <w:r>
        <w:t xml:space="preserve"> SDG&amp;E had almost 1,300 accounts</w:t>
      </w:r>
      <w:r w:rsidR="001777B3">
        <w:t xml:space="preserve"> </w:t>
      </w:r>
      <w:r w:rsidR="00CA470C">
        <w:t>–</w:t>
      </w:r>
      <w:r w:rsidR="001777B3">
        <w:t xml:space="preserve"> </w:t>
      </w:r>
      <w:r>
        <w:t>or roughly 60</w:t>
      </w:r>
      <w:r w:rsidR="00461621">
        <w:t>% of eligible customers</w:t>
      </w:r>
      <w:r w:rsidR="001777B3">
        <w:t xml:space="preserve"> </w:t>
      </w:r>
      <w:r w:rsidR="00CA470C">
        <w:t>–</w:t>
      </w:r>
      <w:r w:rsidR="00461621">
        <w:t xml:space="preserve"> on CPP and by the end of 2012, SDG&amp;E’s CPP rate </w:t>
      </w:r>
      <w:r w:rsidR="00966314" w:rsidRPr="00340FC0">
        <w:t xml:space="preserve">enrollment stood at </w:t>
      </w:r>
      <w:r w:rsidR="00966314" w:rsidRPr="00340FC0">
        <w:rPr>
          <w:rFonts w:eastAsia="Times New Roman" w:cs="Times New Roman"/>
          <w:color w:val="000000"/>
        </w:rPr>
        <w:t>1,136</w:t>
      </w:r>
      <w:r w:rsidR="00966314" w:rsidRPr="00340FC0">
        <w:t>.  As</w:t>
      </w:r>
      <w:r>
        <w:t xml:space="preserve"> indicated above, if a customer does not</w:t>
      </w:r>
      <w:r w:rsidR="00461621">
        <w:t xml:space="preserve"> opt out within 45 days of becoming</w:t>
      </w:r>
      <w:r>
        <w:t xml:space="preserve"> eligible for default CPP at SDG&amp;E, they must stay on the rate for at least 12 months, whereas at PG&amp;E and SCE</w:t>
      </w:r>
      <w:r w:rsidR="006514E9">
        <w:t>,</w:t>
      </w:r>
      <w:r>
        <w:t xml:space="preserve"> customers can opt out at any</w:t>
      </w:r>
      <w:r w:rsidR="001777B3">
        <w:t> </w:t>
      </w:r>
      <w:r>
        <w:t xml:space="preserve">time.  </w:t>
      </w:r>
    </w:p>
    <w:p w:rsidR="00D67500" w:rsidRDefault="00924B67" w:rsidP="00924B67">
      <w:pPr>
        <w:pStyle w:val="BodyParagraph"/>
      </w:pPr>
      <w:r>
        <w:t>A</w:t>
      </w:r>
      <w:r w:rsidRPr="00C030E8">
        <w:t xml:space="preserve">ll three utilities offered </w:t>
      </w:r>
      <w:r>
        <w:t xml:space="preserve">customers bill comparisons between the CPP and opt-out TOU tariffs.  In addition, SCE compared the CPP and opt-out TOU rates to each customer’s historical tariff.  </w:t>
      </w:r>
      <w:r w:rsidR="00461621">
        <w:t xml:space="preserve">Notably, </w:t>
      </w:r>
      <w:r>
        <w:t xml:space="preserve">SCE customers transitioned to default CPP at the same time that a 3.1% rate reduction was being implemented for large customers. </w:t>
      </w:r>
    </w:p>
    <w:p w:rsidR="00D67500" w:rsidRDefault="006514E9" w:rsidP="00D67500">
      <w:pPr>
        <w:pStyle w:val="BodyParagraph"/>
      </w:pPr>
      <w:r>
        <w:t>When assessing the impacts that are presented in subsequent chapters, it is important to keep in mind that c</w:t>
      </w:r>
      <w:r w:rsidR="00D67500">
        <w:t xml:space="preserve">ross utility comparisons of load impacts </w:t>
      </w:r>
      <w:r w:rsidR="00D67500" w:rsidRPr="00E05739">
        <w:t>should be made w</w:t>
      </w:r>
      <w:r w:rsidR="00D67500">
        <w:t>ith care.  Each utility triggers</w:t>
      </w:r>
      <w:r w:rsidR="00D67500" w:rsidRPr="00E05739">
        <w:t xml:space="preserve"> </w:t>
      </w:r>
      <w:r w:rsidR="00D67500">
        <w:t xml:space="preserve">CPP </w:t>
      </w:r>
      <w:r w:rsidR="00D67500" w:rsidRPr="00E05739">
        <w:t xml:space="preserve">event days </w:t>
      </w:r>
      <w:r w:rsidR="00D67500">
        <w:t>using t</w:t>
      </w:r>
      <w:r w:rsidR="00D67500" w:rsidRPr="00E05739">
        <w:t>he</w:t>
      </w:r>
      <w:r w:rsidR="00D67500">
        <w:t>ir own protocols, which depend on</w:t>
      </w:r>
      <w:r w:rsidR="00D67500" w:rsidRPr="00E05739">
        <w:t xml:space="preserve"> </w:t>
      </w:r>
      <w:r w:rsidR="00D67500">
        <w:t xml:space="preserve">forecasted conditions </w:t>
      </w:r>
      <w:r>
        <w:t>for</w:t>
      </w:r>
      <w:r w:rsidR="00D67500" w:rsidRPr="00E05739">
        <w:t xml:space="preserve"> their </w:t>
      </w:r>
      <w:r w:rsidR="00D67500">
        <w:t xml:space="preserve">individual transmission and distribution </w:t>
      </w:r>
      <w:r w:rsidR="00D67500" w:rsidRPr="00E05739">
        <w:t>system.  Due to the climat</w:t>
      </w:r>
      <w:r w:rsidR="00D67500">
        <w:t xml:space="preserve">ic diversity in California, </w:t>
      </w:r>
      <w:r w:rsidR="00D67500" w:rsidRPr="00E05739">
        <w:t>system load patterns across utilities are not alw</w:t>
      </w:r>
      <w:r w:rsidR="00D67500">
        <w:t>ays coincident, particularly between</w:t>
      </w:r>
      <w:r w:rsidR="00D67500" w:rsidRPr="00E05739">
        <w:t xml:space="preserve"> Northern and Southern </w:t>
      </w:r>
      <w:r w:rsidR="00D67500">
        <w:t>California.  For example, PG&amp;E and SCE’s</w:t>
      </w:r>
      <w:r w:rsidR="00D67500" w:rsidRPr="00E05739">
        <w:t xml:space="preserve"> system peaked on </w:t>
      </w:r>
      <w:r w:rsidR="00D67500">
        <w:t>August 13, 2012</w:t>
      </w:r>
      <w:r w:rsidR="00D67500" w:rsidRPr="00E05739">
        <w:t xml:space="preserve"> while SDG&amp;E's </w:t>
      </w:r>
      <w:r w:rsidR="00D67500">
        <w:t xml:space="preserve">system </w:t>
      </w:r>
      <w:r w:rsidR="00D67500" w:rsidRPr="00E05739">
        <w:t>peaked on</w:t>
      </w:r>
      <w:r w:rsidR="00D67500">
        <w:t xml:space="preserve"> September 14, 2012</w:t>
      </w:r>
      <w:r w:rsidR="00D67500" w:rsidRPr="00E05739">
        <w:t xml:space="preserve">.  Another key difference in ex post results is event duration.  SDG&amp;E uses a longer event window, 11 AM to 6 PM, than PG&amp;E or SCE, which have a 2 PM to 6 PM window.  </w:t>
      </w:r>
      <w:r w:rsidR="00D67500">
        <w:t>Finally, another differentiator</w:t>
      </w:r>
      <w:r w:rsidR="00D67500" w:rsidRPr="00E05739">
        <w:t xml:space="preserve"> is </w:t>
      </w:r>
      <w:r>
        <w:t>the rates themselves</w:t>
      </w:r>
      <w:r w:rsidR="00D67500" w:rsidRPr="00E05739">
        <w:t xml:space="preserve">.  </w:t>
      </w:r>
      <w:r w:rsidR="00D67500">
        <w:rPr>
          <w:lang w:val="en-CA"/>
        </w:rPr>
        <w:t>T</w:t>
      </w:r>
      <w:r w:rsidR="00D67500" w:rsidRPr="00E05739">
        <w:rPr>
          <w:lang w:val="en-CA"/>
        </w:rPr>
        <w:t xml:space="preserve">here are many differences in the details of the tariffs and the implementation processes across the three utilities.  Although the basic </w:t>
      </w:r>
      <w:r w:rsidR="00D67500" w:rsidRPr="00E05739">
        <w:t>structure</w:t>
      </w:r>
      <w:r w:rsidR="00D67500" w:rsidRPr="00E05739">
        <w:rPr>
          <w:lang w:val="en-CA"/>
        </w:rPr>
        <w:t xml:space="preserve"> of the rates</w:t>
      </w:r>
      <w:r w:rsidR="001777B3">
        <w:rPr>
          <w:lang w:val="en-CA"/>
        </w:rPr>
        <w:t> </w:t>
      </w:r>
      <w:r w:rsidR="00D67500" w:rsidRPr="00E05739">
        <w:rPr>
          <w:lang w:val="en-CA"/>
        </w:rPr>
        <w:t>is</w:t>
      </w:r>
      <w:r w:rsidR="001777B3">
        <w:rPr>
          <w:lang w:val="en-CA"/>
        </w:rPr>
        <w:t> </w:t>
      </w:r>
      <w:r w:rsidR="00D67500" w:rsidRPr="00E05739">
        <w:rPr>
          <w:lang w:val="en-CA"/>
        </w:rPr>
        <w:t xml:space="preserve">similar, </w:t>
      </w:r>
      <w:r w:rsidR="00D67500">
        <w:rPr>
          <w:lang w:val="en-CA"/>
        </w:rPr>
        <w:t xml:space="preserve">tariff </w:t>
      </w:r>
      <w:r w:rsidR="00D67500" w:rsidRPr="00E05739">
        <w:rPr>
          <w:lang w:val="en-CA"/>
        </w:rPr>
        <w:t>price levels themselves are fairly</w:t>
      </w:r>
      <w:r w:rsidR="00D67500">
        <w:rPr>
          <w:lang w:val="en-CA"/>
        </w:rPr>
        <w:t> </w:t>
      </w:r>
      <w:r w:rsidR="00D67500" w:rsidRPr="00E05739">
        <w:rPr>
          <w:lang w:val="en-CA"/>
        </w:rPr>
        <w:t xml:space="preserve">different. </w:t>
      </w:r>
    </w:p>
    <w:p w:rsidR="00461621" w:rsidRDefault="00924B67" w:rsidP="00924B67">
      <w:pPr>
        <w:pStyle w:val="BodyParagraph"/>
      </w:pPr>
      <w:r>
        <w:t xml:space="preserve">Table 2-1 provides examples of the default CPP and opt-out TOU rates at each utility.  There are </w:t>
      </w:r>
      <w:r w:rsidR="00D67500">
        <w:t xml:space="preserve">a number of </w:t>
      </w:r>
      <w:r>
        <w:t>different CPP rates at each utility, which vary with customer size</w:t>
      </w:r>
      <w:r w:rsidR="001777B3">
        <w:t xml:space="preserve"> and</w:t>
      </w:r>
      <w:r>
        <w:t xml:space="preserve"> service voltage level</w:t>
      </w:r>
      <w:r w:rsidR="00D67500">
        <w:t xml:space="preserve">.  These various CPP rates also change over </w:t>
      </w:r>
      <w:r>
        <w:t xml:space="preserve">time due to periodic rate changes. </w:t>
      </w:r>
      <w:r w:rsidR="001777B3">
        <w:t xml:space="preserve"> </w:t>
      </w:r>
      <w:r w:rsidR="00D67500">
        <w:t>Table 2-1 illustrate</w:t>
      </w:r>
      <w:r w:rsidR="00874CA9">
        <w:t>s</w:t>
      </w:r>
      <w:r w:rsidR="00D67500">
        <w:t xml:space="preserve"> that t</w:t>
      </w:r>
      <w:r>
        <w:t xml:space="preserve">he </w:t>
      </w:r>
      <w:r w:rsidRPr="00B17CAA">
        <w:t>rate components</w:t>
      </w:r>
      <w:r>
        <w:t>, credits</w:t>
      </w:r>
      <w:r w:rsidRPr="00B17CAA">
        <w:t xml:space="preserve"> and charges</w:t>
      </w:r>
      <w:r>
        <w:t xml:space="preserve"> vary significantly across the utilities.</w:t>
      </w:r>
      <w:r w:rsidR="00461621">
        <w:t xml:space="preserve">  S</w:t>
      </w:r>
      <w:r>
        <w:t>easonal definitions also differ</w:t>
      </w:r>
      <w:r w:rsidR="00D67500">
        <w:t xml:space="preserve"> a</w:t>
      </w:r>
      <w:r w:rsidR="006514E9">
        <w:t>cross</w:t>
      </w:r>
      <w:r w:rsidR="00D67500">
        <w:t xml:space="preserve"> the IOUs: </w:t>
      </w:r>
      <w:r w:rsidRPr="00B17CAA">
        <w:t>PG&amp;E define</w:t>
      </w:r>
      <w:r>
        <w:t>s summer as the period from May through October</w:t>
      </w:r>
      <w:r w:rsidRPr="00B17CAA">
        <w:t xml:space="preserve"> while</w:t>
      </w:r>
      <w:r>
        <w:t xml:space="preserve"> </w:t>
      </w:r>
      <w:r>
        <w:lastRenderedPageBreak/>
        <w:t>SDG&amp;E defines summer as May</w:t>
      </w:r>
      <w:r w:rsidRPr="00B17CAA">
        <w:t xml:space="preserve"> </w:t>
      </w:r>
      <w:r>
        <w:t>through September and SCE defines summer as June through</w:t>
      </w:r>
      <w:r w:rsidR="00874CA9">
        <w:t> </w:t>
      </w:r>
      <w:r>
        <w:t xml:space="preserve">September.  </w:t>
      </w:r>
    </w:p>
    <w:p w:rsidR="00924B67" w:rsidRDefault="00924B67" w:rsidP="00924B67">
      <w:pPr>
        <w:pStyle w:val="BodyParagraph"/>
      </w:pPr>
      <w:r w:rsidRPr="00C030E8">
        <w:t xml:space="preserve">The </w:t>
      </w:r>
      <w:r>
        <w:t>critical peak price is typically an</w:t>
      </w:r>
      <w:r w:rsidRPr="00C030E8">
        <w:t xml:space="preserve"> adder</w:t>
      </w:r>
      <w:r>
        <w:t xml:space="preserve">, in effect during CPP hours, </w:t>
      </w:r>
      <w:r w:rsidR="00461621">
        <w:t>which</w:t>
      </w:r>
      <w:r w:rsidRPr="00C030E8">
        <w:t xml:space="preserve"> varies from </w:t>
      </w:r>
      <w:r>
        <w:t>a low of $1.06</w:t>
      </w:r>
      <w:r w:rsidRPr="00C030E8">
        <w:t xml:space="preserve">/kWh for </w:t>
      </w:r>
      <w:r>
        <w:t xml:space="preserve">SDG&amp;E AL-TOU </w:t>
      </w:r>
      <w:r w:rsidRPr="00C030E8">
        <w:t xml:space="preserve">to </w:t>
      </w:r>
      <w:r w:rsidR="006514E9">
        <w:t xml:space="preserve">a high of </w:t>
      </w:r>
      <w:r w:rsidRPr="00C030E8">
        <w:t>$1.</w:t>
      </w:r>
      <w:r>
        <w:t>36</w:t>
      </w:r>
      <w:r w:rsidRPr="00C030E8">
        <w:t xml:space="preserve">/kWh for </w:t>
      </w:r>
      <w:r>
        <w:t>SC</w:t>
      </w:r>
      <w:r w:rsidRPr="00C030E8">
        <w:t xml:space="preserve">E </w:t>
      </w:r>
      <w:r>
        <w:t>TOU-GS-3</w:t>
      </w:r>
      <w:r w:rsidRPr="00C030E8">
        <w:t xml:space="preserve"> customers</w:t>
      </w:r>
      <w:r w:rsidR="006514E9">
        <w:t xml:space="preserve">.  </w:t>
      </w:r>
      <w:r>
        <w:t>The CPP credits take the form of reduced demand charges ($/kW), reduced consumption charges ($/kW</w:t>
      </w:r>
      <w:r w:rsidR="00461621">
        <w:t>h), or both.  C</w:t>
      </w:r>
      <w:r>
        <w:t xml:space="preserve">ustomers on CPP experience on-peak demand credits that also vary substantially across utilities, ranging from $5.21/kW for SDG&amp;E AL-TOU customers, to </w:t>
      </w:r>
      <w:r w:rsidRPr="00C030E8">
        <w:t>$6</w:t>
      </w:r>
      <w:r>
        <w:t>.35</w:t>
      </w:r>
      <w:r w:rsidRPr="00C030E8">
        <w:t>/kW for PG&amp;E E-19</w:t>
      </w:r>
      <w:r>
        <w:t xml:space="preserve"> customers, </w:t>
      </w:r>
      <w:r w:rsidR="006514E9">
        <w:t>and</w:t>
      </w:r>
      <w:r>
        <w:t xml:space="preserve"> $11.62</w:t>
      </w:r>
      <w:r w:rsidRPr="00C030E8">
        <w:t>/kW for SCE customers</w:t>
      </w:r>
      <w:r>
        <w:t xml:space="preserve"> on TOU-GS-3.  SD</w:t>
      </w:r>
      <w:r w:rsidRPr="00C030E8">
        <w:t>G&amp;E</w:t>
      </w:r>
      <w:r>
        <w:t xml:space="preserve"> and PG&amp;E also have small</w:t>
      </w:r>
      <w:r w:rsidRPr="00C030E8">
        <w:t xml:space="preserve"> ene</w:t>
      </w:r>
      <w:r>
        <w:t>rgy credits for non-event periods, but S</w:t>
      </w:r>
      <w:r w:rsidRPr="00C030E8">
        <w:t xml:space="preserve">CE does not.  </w:t>
      </w:r>
      <w:r w:rsidRPr="00BA6F0C">
        <w:t>SDG&amp;E’s peak energy and demand credits come in the form of a difference between the</w:t>
      </w:r>
      <w:r>
        <w:t xml:space="preserve"> energy and demand</w:t>
      </w:r>
      <w:r w:rsidRPr="00BA6F0C">
        <w:t xml:space="preserve"> rate</w:t>
      </w:r>
      <w:r>
        <w:t>s</w:t>
      </w:r>
      <w:r w:rsidRPr="00BA6F0C">
        <w:t xml:space="preserve"> that CPP customers pay and</w:t>
      </w:r>
      <w:r>
        <w:t xml:space="preserve"> energy and demand</w:t>
      </w:r>
      <w:r w:rsidRPr="00BA6F0C">
        <w:t xml:space="preserve"> rate</w:t>
      </w:r>
      <w:r>
        <w:t>s</w:t>
      </w:r>
      <w:r w:rsidRPr="00BA6F0C">
        <w:t xml:space="preserve"> under the </w:t>
      </w:r>
      <w:r>
        <w:t>otherwise applicable tariff (</w:t>
      </w:r>
      <w:r w:rsidRPr="00BA6F0C">
        <w:t>OAT</w:t>
      </w:r>
      <w:r>
        <w:t>)</w:t>
      </w:r>
      <w:r w:rsidRPr="00BA6F0C">
        <w:t xml:space="preserve">, </w:t>
      </w:r>
      <w:r>
        <w:t xml:space="preserve">rather than as explicit credits.  The summer on-peak demand credit is $5.21/kW and the energy credits are under $0.01/kWh. </w:t>
      </w:r>
      <w:r w:rsidRPr="00BA6F0C">
        <w:t xml:space="preserve"> The </w:t>
      </w:r>
      <w:r>
        <w:t>impact</w:t>
      </w:r>
      <w:r w:rsidRPr="00BA6F0C">
        <w:t xml:space="preserve"> on customer bills is the same as </w:t>
      </w:r>
      <w:r>
        <w:t xml:space="preserve">that of </w:t>
      </w:r>
      <w:r w:rsidRPr="00BA6F0C">
        <w:t>a</w:t>
      </w:r>
      <w:r>
        <w:t>n explicit</w:t>
      </w:r>
      <w:r w:rsidRPr="00BA6F0C">
        <w:t xml:space="preserve"> credit.</w:t>
      </w:r>
    </w:p>
    <w:p w:rsidR="006514E9" w:rsidRDefault="006514E9" w:rsidP="006514E9">
      <w:pPr>
        <w:pStyle w:val="BodyParaAfterTableFigure"/>
      </w:pPr>
      <w:r w:rsidRPr="00C030E8">
        <w:t xml:space="preserve">SDG&amp;E offers capacity reservation (CR) to </w:t>
      </w:r>
      <w:r>
        <w:t>all CPP customers and PG&amp;E offers it to CPP</w:t>
      </w:r>
      <w:r w:rsidRPr="00C030E8">
        <w:t xml:space="preserve"> customers whose underlying TOU rate is E-19 or E-20.</w:t>
      </w:r>
      <w:r w:rsidRPr="00C030E8">
        <w:rPr>
          <w:rStyle w:val="FootnoteReference"/>
          <w:rFonts w:cs="Arial"/>
        </w:rPr>
        <w:footnoteReference w:id="4"/>
      </w:r>
      <w:r w:rsidRPr="00C030E8">
        <w:t xml:space="preserve">  </w:t>
      </w:r>
      <w:r>
        <w:t xml:space="preserve">SCE does not currently offer the CR option.  </w:t>
      </w:r>
      <w:r w:rsidRPr="00C030E8">
        <w:t xml:space="preserve">Capacity reservation is a type of insurance contract in which </w:t>
      </w:r>
      <w:r>
        <w:t>a</w:t>
      </w:r>
      <w:r w:rsidRPr="00C030E8">
        <w:t xml:space="preserve"> customer pays a fee (measured per kW) to set a</w:t>
      </w:r>
      <w:r>
        <w:t> </w:t>
      </w:r>
      <w:r w:rsidRPr="00C030E8">
        <w:t xml:space="preserve">level of demand below which </w:t>
      </w:r>
      <w:r>
        <w:t>it will be charged the non-CPP</w:t>
      </w:r>
      <w:r w:rsidRPr="00C030E8">
        <w:t>, TOU price during even</w:t>
      </w:r>
      <w:r>
        <w:t>t periods.  Above the set level, a</w:t>
      </w:r>
      <w:r w:rsidRPr="00C030E8">
        <w:t xml:space="preserve"> customer will pay </w:t>
      </w:r>
      <w:r>
        <w:t>the normal CPP</w:t>
      </w:r>
      <w:r w:rsidRPr="00C030E8">
        <w:t xml:space="preserve"> price during an event.  </w:t>
      </w:r>
      <w:r>
        <w:t>Customers choosing this option will pay the capacity reservation</w:t>
      </w:r>
      <w:r w:rsidRPr="00C030E8">
        <w:t xml:space="preserve"> fee whether or not </w:t>
      </w:r>
      <w:r>
        <w:t xml:space="preserve">events are called and whether or not </w:t>
      </w:r>
      <w:r w:rsidRPr="00C030E8">
        <w:t xml:space="preserve">they actually reach </w:t>
      </w:r>
      <w:r>
        <w:t>their specified level of demand during an event.  SDG&amp;E charges $6.42</w:t>
      </w:r>
      <w:r w:rsidRPr="00C030E8">
        <w:t xml:space="preserve">/kW </w:t>
      </w:r>
      <w:r>
        <w:t xml:space="preserve">per month </w:t>
      </w:r>
      <w:r w:rsidRPr="00C030E8">
        <w:t xml:space="preserve">for this </w:t>
      </w:r>
      <w:r>
        <w:t>option</w:t>
      </w:r>
      <w:r w:rsidRPr="00C030E8">
        <w:t xml:space="preserve"> and the default level for SDG&amp;E customers is 50% of </w:t>
      </w:r>
      <w:r>
        <w:t>a</w:t>
      </w:r>
      <w:r w:rsidRPr="00C030E8">
        <w:t xml:space="preserve"> customer’s</w:t>
      </w:r>
      <w:r>
        <w:t xml:space="preserve"> average</w:t>
      </w:r>
      <w:r w:rsidRPr="00C030E8">
        <w:t xml:space="preserve"> </w:t>
      </w:r>
      <w:r>
        <w:t>of their monthly maximum</w:t>
      </w:r>
      <w:r w:rsidRPr="00C030E8">
        <w:t xml:space="preserve"> demand</w:t>
      </w:r>
      <w:r>
        <w:t>s</w:t>
      </w:r>
      <w:r w:rsidRPr="00C030E8">
        <w:t xml:space="preserve"> during </w:t>
      </w:r>
      <w:r>
        <w:t>the previous summer</w:t>
      </w:r>
      <w:r w:rsidRPr="00C030E8">
        <w:t xml:space="preserve">.  PG&amp;E also sets the default level to 50% </w:t>
      </w:r>
      <w:r w:rsidRPr="00D104C8">
        <w:t>of</w:t>
      </w:r>
      <w:r>
        <w:t> </w:t>
      </w:r>
      <w:r w:rsidRPr="00D104C8">
        <w:t>the</w:t>
      </w:r>
      <w:r>
        <w:t xml:space="preserve"> same metric</w:t>
      </w:r>
      <w:r w:rsidRPr="00C030E8">
        <w:t xml:space="preserve">, but the </w:t>
      </w:r>
      <w:r>
        <w:t>capacity reservation structure</w:t>
      </w:r>
      <w:r w:rsidRPr="00C030E8">
        <w:t xml:space="preserve"> is different.  For PG&amp;E, E-19 and E</w:t>
      </w:r>
      <w:r>
        <w:t>-20 customers pay capacity reservation charges</w:t>
      </w:r>
      <w:r w:rsidRPr="00C030E8">
        <w:t xml:space="preserve"> according to the peak (during summer) and part-peak (during winter) demand charges </w:t>
      </w:r>
      <w:r>
        <w:t xml:space="preserve">that </w:t>
      </w:r>
      <w:r w:rsidRPr="00C030E8">
        <w:t>they normal</w:t>
      </w:r>
      <w:r>
        <w:t>ly pay during the hours of a CPP</w:t>
      </w:r>
      <w:r w:rsidRPr="00C030E8">
        <w:t xml:space="preserve"> event.  This means that the summer price for </w:t>
      </w:r>
      <w:r>
        <w:t>capacity reservation</w:t>
      </w:r>
      <w:r w:rsidRPr="00C030E8">
        <w:t xml:space="preserve"> is</w:t>
      </w:r>
      <w:r>
        <w:t xml:space="preserve"> $14.70</w:t>
      </w:r>
      <w:r w:rsidRPr="00C030E8">
        <w:t>/kW and the winter</w:t>
      </w:r>
      <w:r>
        <w:t xml:space="preserve"> price is about $0.21/kW.  Because CPP</w:t>
      </w:r>
      <w:r w:rsidRPr="00C030E8">
        <w:t xml:space="preserve"> events in PG&amp;E’s territory are much more likely </w:t>
      </w:r>
      <w:r>
        <w:t xml:space="preserve">to be called in </w:t>
      </w:r>
      <w:r w:rsidRPr="00C030E8">
        <w:t xml:space="preserve">the summer, it is sensible to charge more for insuring against </w:t>
      </w:r>
      <w:r>
        <w:t>events</w:t>
      </w:r>
      <w:r w:rsidRPr="00C030E8">
        <w:t xml:space="preserve"> during the summe</w:t>
      </w:r>
      <w:r>
        <w:t>r.</w:t>
      </w:r>
    </w:p>
    <w:p w:rsidR="006514E9" w:rsidRDefault="006514E9" w:rsidP="00924B67">
      <w:pPr>
        <w:pStyle w:val="BodyParagraph"/>
      </w:pPr>
    </w:p>
    <w:p w:rsidR="00924B67" w:rsidRDefault="00924B67" w:rsidP="00924B67">
      <w:pPr>
        <w:pStyle w:val="TableFigureCaption"/>
        <w:rPr>
          <w:rFonts w:ascii="Verdana" w:hAnsi="Verdana"/>
        </w:rPr>
      </w:pPr>
      <w:r w:rsidRPr="00461621">
        <w:rPr>
          <w:rFonts w:ascii="Verdana" w:hAnsi="Verdana"/>
        </w:rPr>
        <w:lastRenderedPageBreak/>
        <w:t>Table 2-1: Example Default CPP Rates at PG&amp;E, SCE and SDG&amp;E</w:t>
      </w:r>
      <w:r w:rsidRPr="00461621">
        <w:rPr>
          <w:rStyle w:val="FootnoteReference"/>
          <w:rFonts w:ascii="Verdana" w:hAnsi="Verdana"/>
        </w:rPr>
        <w:footnoteReference w:id="5"/>
      </w:r>
    </w:p>
    <w:tbl>
      <w:tblPr>
        <w:tblStyle w:val="TableGrid"/>
        <w:tblW w:w="0" w:type="auto"/>
        <w:jc w:val="center"/>
        <w:tblLayout w:type="fixed"/>
        <w:tblLook w:val="04A0" w:firstRow="1" w:lastRow="0" w:firstColumn="1" w:lastColumn="0" w:noHBand="0" w:noVBand="1"/>
      </w:tblPr>
      <w:tblGrid>
        <w:gridCol w:w="1008"/>
        <w:gridCol w:w="1350"/>
        <w:gridCol w:w="1890"/>
        <w:gridCol w:w="1709"/>
        <w:gridCol w:w="967"/>
        <w:gridCol w:w="1324"/>
        <w:gridCol w:w="1328"/>
      </w:tblGrid>
      <w:tr w:rsidR="00DE0190" w:rsidTr="00DE0190">
        <w:trPr>
          <w:jc w:val="center"/>
        </w:trPr>
        <w:tc>
          <w:tcPr>
            <w:tcW w:w="1008" w:type="dxa"/>
            <w:vMerge w:val="restart"/>
            <w:tcBorders>
              <w:right w:val="single" w:sz="4" w:space="0" w:color="FFFFFF" w:themeColor="background1"/>
            </w:tcBorders>
            <w:shd w:val="clear" w:color="auto" w:fill="1F497D" w:themeFill="text2"/>
            <w:vAlign w:val="center"/>
          </w:tcPr>
          <w:p w:rsidR="00A16D32" w:rsidRDefault="00A16D32" w:rsidP="00A16D32">
            <w:pPr>
              <w:pStyle w:val="TableHeader"/>
            </w:pPr>
            <w:r>
              <w:t>Season</w:t>
            </w:r>
          </w:p>
        </w:tc>
        <w:tc>
          <w:tcPr>
            <w:tcW w:w="1350" w:type="dxa"/>
            <w:vMerge w:val="restart"/>
            <w:tcBorders>
              <w:left w:val="single" w:sz="4" w:space="0" w:color="FFFFFF" w:themeColor="background1"/>
              <w:right w:val="single" w:sz="4" w:space="0" w:color="FFFFFF" w:themeColor="background1"/>
            </w:tcBorders>
            <w:shd w:val="clear" w:color="auto" w:fill="1F497D" w:themeFill="text2"/>
            <w:vAlign w:val="center"/>
          </w:tcPr>
          <w:p w:rsidR="00A16D32" w:rsidRDefault="00A16D32" w:rsidP="00A16D32">
            <w:pPr>
              <w:pStyle w:val="TableHeader"/>
            </w:pPr>
            <w:r>
              <w:t>TOU/CPP Component</w:t>
            </w:r>
          </w:p>
        </w:tc>
        <w:tc>
          <w:tcPr>
            <w:tcW w:w="1890" w:type="dxa"/>
            <w:vMerge w:val="restart"/>
            <w:tcBorders>
              <w:left w:val="single" w:sz="4" w:space="0" w:color="FFFFFF" w:themeColor="background1"/>
              <w:right w:val="single" w:sz="4" w:space="0" w:color="FFFFFF" w:themeColor="background1"/>
            </w:tcBorders>
            <w:shd w:val="clear" w:color="auto" w:fill="1F497D" w:themeFill="text2"/>
            <w:vAlign w:val="center"/>
          </w:tcPr>
          <w:p w:rsidR="00A16D32" w:rsidRDefault="00A16D32" w:rsidP="00A16D32">
            <w:pPr>
              <w:pStyle w:val="TableHeader"/>
            </w:pPr>
            <w:r>
              <w:t>Type of Charge/Credit</w:t>
            </w:r>
          </w:p>
        </w:tc>
        <w:tc>
          <w:tcPr>
            <w:tcW w:w="1709" w:type="dxa"/>
            <w:vMerge w:val="restart"/>
            <w:tcBorders>
              <w:left w:val="single" w:sz="4" w:space="0" w:color="FFFFFF" w:themeColor="background1"/>
              <w:right w:val="single" w:sz="4" w:space="0" w:color="FFFFFF" w:themeColor="background1"/>
            </w:tcBorders>
            <w:shd w:val="clear" w:color="auto" w:fill="1F497D" w:themeFill="text2"/>
            <w:vAlign w:val="center"/>
          </w:tcPr>
          <w:p w:rsidR="00A16D32" w:rsidRDefault="00A16D32" w:rsidP="00A16D32">
            <w:pPr>
              <w:pStyle w:val="TableHeader"/>
            </w:pPr>
            <w:r>
              <w:t>Period</w:t>
            </w:r>
          </w:p>
        </w:tc>
        <w:tc>
          <w:tcPr>
            <w:tcW w:w="3619" w:type="dxa"/>
            <w:gridSpan w:val="3"/>
            <w:tcBorders>
              <w:left w:val="single" w:sz="4" w:space="0" w:color="FFFFFF" w:themeColor="background1"/>
              <w:bottom w:val="single" w:sz="4" w:space="0" w:color="FFFFFF" w:themeColor="background1"/>
            </w:tcBorders>
            <w:shd w:val="clear" w:color="auto" w:fill="1F497D" w:themeFill="text2"/>
            <w:vAlign w:val="center"/>
          </w:tcPr>
          <w:p w:rsidR="00A16D32" w:rsidRDefault="00A16D32" w:rsidP="00A16D32">
            <w:pPr>
              <w:pStyle w:val="TableHeader"/>
            </w:pPr>
            <w:r>
              <w:t>Rate</w:t>
            </w:r>
          </w:p>
        </w:tc>
      </w:tr>
      <w:tr w:rsidR="00DE0190" w:rsidTr="00DE0190">
        <w:trPr>
          <w:trHeight w:val="260"/>
          <w:jc w:val="center"/>
        </w:trPr>
        <w:tc>
          <w:tcPr>
            <w:tcW w:w="1008" w:type="dxa"/>
            <w:vMerge/>
            <w:tcBorders>
              <w:right w:val="single" w:sz="4" w:space="0" w:color="FFFFFF" w:themeColor="background1"/>
            </w:tcBorders>
            <w:shd w:val="clear" w:color="auto" w:fill="1F497D" w:themeFill="text2"/>
            <w:vAlign w:val="center"/>
          </w:tcPr>
          <w:p w:rsidR="00A16D32" w:rsidRDefault="00A16D32" w:rsidP="00A16D32">
            <w:pPr>
              <w:pStyle w:val="TableHeader"/>
            </w:pPr>
          </w:p>
        </w:tc>
        <w:tc>
          <w:tcPr>
            <w:tcW w:w="1350" w:type="dxa"/>
            <w:vMerge/>
            <w:tcBorders>
              <w:left w:val="single" w:sz="4" w:space="0" w:color="FFFFFF" w:themeColor="background1"/>
              <w:right w:val="single" w:sz="4" w:space="0" w:color="FFFFFF" w:themeColor="background1"/>
            </w:tcBorders>
            <w:shd w:val="clear" w:color="auto" w:fill="1F497D" w:themeFill="text2"/>
            <w:vAlign w:val="center"/>
          </w:tcPr>
          <w:p w:rsidR="00A16D32" w:rsidRDefault="00A16D32" w:rsidP="00A16D32">
            <w:pPr>
              <w:pStyle w:val="TableHeader"/>
            </w:pPr>
          </w:p>
        </w:tc>
        <w:tc>
          <w:tcPr>
            <w:tcW w:w="1890" w:type="dxa"/>
            <w:vMerge/>
            <w:tcBorders>
              <w:left w:val="single" w:sz="4" w:space="0" w:color="FFFFFF" w:themeColor="background1"/>
              <w:right w:val="single" w:sz="4" w:space="0" w:color="FFFFFF" w:themeColor="background1"/>
            </w:tcBorders>
            <w:shd w:val="clear" w:color="auto" w:fill="1F497D" w:themeFill="text2"/>
            <w:vAlign w:val="center"/>
          </w:tcPr>
          <w:p w:rsidR="00A16D32" w:rsidRDefault="00A16D32" w:rsidP="00A16D32">
            <w:pPr>
              <w:pStyle w:val="TableHeader"/>
            </w:pPr>
          </w:p>
        </w:tc>
        <w:tc>
          <w:tcPr>
            <w:tcW w:w="1709" w:type="dxa"/>
            <w:vMerge/>
            <w:tcBorders>
              <w:left w:val="single" w:sz="4" w:space="0" w:color="FFFFFF" w:themeColor="background1"/>
              <w:right w:val="single" w:sz="4" w:space="0" w:color="FFFFFF" w:themeColor="background1"/>
            </w:tcBorders>
            <w:shd w:val="clear" w:color="auto" w:fill="1F497D" w:themeFill="text2"/>
            <w:vAlign w:val="center"/>
          </w:tcPr>
          <w:p w:rsidR="00A16D32" w:rsidRDefault="00A16D32" w:rsidP="00A16D32">
            <w:pPr>
              <w:pStyle w:val="TableHeader"/>
            </w:pPr>
          </w:p>
        </w:tc>
        <w:tc>
          <w:tcPr>
            <w:tcW w:w="967" w:type="dxa"/>
            <w:tcBorders>
              <w:top w:val="single" w:sz="4" w:space="0" w:color="FFFFFF" w:themeColor="background1"/>
              <w:left w:val="single" w:sz="4" w:space="0" w:color="FFFFFF" w:themeColor="background1"/>
              <w:right w:val="single" w:sz="4" w:space="0" w:color="FFFFFF" w:themeColor="background1"/>
            </w:tcBorders>
            <w:shd w:val="clear" w:color="auto" w:fill="1F497D" w:themeFill="text2"/>
            <w:vAlign w:val="center"/>
          </w:tcPr>
          <w:p w:rsidR="00A16D32" w:rsidRDefault="00A16D32" w:rsidP="00A16D32">
            <w:pPr>
              <w:pStyle w:val="TableHeader"/>
            </w:pPr>
            <w:r>
              <w:t>PG&amp;E E-19</w:t>
            </w:r>
          </w:p>
        </w:tc>
        <w:tc>
          <w:tcPr>
            <w:tcW w:w="1324" w:type="dxa"/>
            <w:tcBorders>
              <w:top w:val="single" w:sz="4" w:space="0" w:color="FFFFFF" w:themeColor="background1"/>
              <w:left w:val="single" w:sz="4" w:space="0" w:color="FFFFFF" w:themeColor="background1"/>
              <w:right w:val="single" w:sz="4" w:space="0" w:color="FFFFFF" w:themeColor="background1"/>
            </w:tcBorders>
            <w:shd w:val="clear" w:color="auto" w:fill="1F497D" w:themeFill="text2"/>
            <w:vAlign w:val="center"/>
          </w:tcPr>
          <w:p w:rsidR="00A16D32" w:rsidRDefault="00A16D32" w:rsidP="00A16D32">
            <w:pPr>
              <w:pStyle w:val="TableHeader"/>
            </w:pPr>
            <w:r>
              <w:t xml:space="preserve">SCE </w:t>
            </w:r>
            <w:r w:rsidR="00880E97">
              <w:br/>
            </w:r>
            <w:r>
              <w:t>TOU-GS-3</w:t>
            </w:r>
          </w:p>
        </w:tc>
        <w:tc>
          <w:tcPr>
            <w:tcW w:w="1328" w:type="dxa"/>
            <w:tcBorders>
              <w:top w:val="single" w:sz="4" w:space="0" w:color="FFFFFF" w:themeColor="background1"/>
              <w:left w:val="single" w:sz="4" w:space="0" w:color="FFFFFF" w:themeColor="background1"/>
            </w:tcBorders>
            <w:shd w:val="clear" w:color="auto" w:fill="1F497D" w:themeFill="text2"/>
            <w:vAlign w:val="center"/>
          </w:tcPr>
          <w:p w:rsidR="00A16D32" w:rsidRDefault="00A16D32" w:rsidP="00A16D32">
            <w:pPr>
              <w:pStyle w:val="TableHeader"/>
            </w:pPr>
            <w:r>
              <w:t xml:space="preserve">SDG&amp;E </w:t>
            </w:r>
            <w:r w:rsidR="00880E97">
              <w:br/>
            </w:r>
            <w:r>
              <w:t>AL-TOU</w:t>
            </w:r>
          </w:p>
        </w:tc>
      </w:tr>
      <w:tr w:rsidR="00880E97" w:rsidTr="00DE0190">
        <w:trPr>
          <w:jc w:val="center"/>
        </w:trPr>
        <w:tc>
          <w:tcPr>
            <w:tcW w:w="1008" w:type="dxa"/>
            <w:vMerge w:val="restart"/>
            <w:vAlign w:val="center"/>
          </w:tcPr>
          <w:p w:rsidR="00880E97" w:rsidRPr="00BC488D" w:rsidRDefault="00880E97" w:rsidP="00DE0190">
            <w:pPr>
              <w:pStyle w:val="TableText"/>
              <w:spacing w:before="20" w:after="20"/>
              <w:contextualSpacing/>
              <w:rPr>
                <w:rFonts w:cs="Arial"/>
                <w:szCs w:val="18"/>
              </w:rPr>
            </w:pPr>
            <w:r w:rsidRPr="00BC488D">
              <w:rPr>
                <w:rFonts w:cs="Arial"/>
                <w:szCs w:val="18"/>
              </w:rPr>
              <w:t>Summer</w:t>
            </w:r>
          </w:p>
        </w:tc>
        <w:tc>
          <w:tcPr>
            <w:tcW w:w="1350" w:type="dxa"/>
            <w:vMerge w:val="restart"/>
            <w:vAlign w:val="center"/>
          </w:tcPr>
          <w:p w:rsidR="00880E97" w:rsidRPr="00BC488D" w:rsidRDefault="00880E97" w:rsidP="00DE0190">
            <w:pPr>
              <w:pStyle w:val="TableText"/>
              <w:spacing w:before="20" w:after="20"/>
              <w:contextualSpacing/>
              <w:rPr>
                <w:rFonts w:cs="Arial"/>
                <w:szCs w:val="18"/>
              </w:rPr>
            </w:pPr>
            <w:r w:rsidRPr="00BC488D">
              <w:rPr>
                <w:rFonts w:cs="Arial"/>
                <w:szCs w:val="18"/>
              </w:rPr>
              <w:t>TOU Component</w:t>
            </w:r>
          </w:p>
        </w:tc>
        <w:tc>
          <w:tcPr>
            <w:tcW w:w="1890" w:type="dxa"/>
            <w:vMerge w:val="restart"/>
            <w:vAlign w:val="center"/>
          </w:tcPr>
          <w:p w:rsidR="00880E97" w:rsidRPr="00BC488D" w:rsidRDefault="00880E97" w:rsidP="00DE0190">
            <w:pPr>
              <w:pStyle w:val="TableText"/>
              <w:spacing w:before="20" w:after="20"/>
              <w:contextualSpacing/>
              <w:rPr>
                <w:rFonts w:cs="Arial"/>
                <w:szCs w:val="18"/>
              </w:rPr>
            </w:pPr>
            <w:r>
              <w:rPr>
                <w:rFonts w:cs="Arial"/>
                <w:szCs w:val="18"/>
              </w:rPr>
              <w:t>Energy Charges (per kWh)</w:t>
            </w: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On-peak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$0.13476</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$0.12448</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$0.13990</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Semi-peak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$0.09579</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$0.09086</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$0.12062</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Off-peak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$0.07028</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$0.06543</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$0.10025</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restart"/>
            <w:vAlign w:val="center"/>
          </w:tcPr>
          <w:p w:rsidR="00880E97" w:rsidRPr="00BC488D" w:rsidRDefault="00880E97" w:rsidP="00DE0190">
            <w:pPr>
              <w:pStyle w:val="TableText"/>
              <w:spacing w:before="20" w:after="20"/>
              <w:contextualSpacing/>
              <w:rPr>
                <w:rFonts w:cs="Arial"/>
                <w:szCs w:val="18"/>
              </w:rPr>
            </w:pPr>
            <w:r>
              <w:rPr>
                <w:rFonts w:cs="Arial"/>
                <w:szCs w:val="18"/>
              </w:rPr>
              <w:t>Demand Charges (per kW)</w:t>
            </w: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On-peak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$14.70</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$12.96</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$12.86</w:t>
            </w:r>
          </w:p>
        </w:tc>
      </w:tr>
      <w:tr w:rsidR="00880E97" w:rsidRPr="00BC488D"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Semi-peak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$3.43</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$3.08</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Maximum</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$11.85</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$13.30</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$13.57</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restart"/>
            <w:vAlign w:val="center"/>
          </w:tcPr>
          <w:p w:rsidR="00880E97" w:rsidRPr="00BC488D" w:rsidRDefault="00880E97" w:rsidP="00DE0190">
            <w:pPr>
              <w:pStyle w:val="TableText"/>
              <w:spacing w:before="20" w:after="20"/>
              <w:contextualSpacing/>
              <w:rPr>
                <w:rFonts w:cs="Arial"/>
                <w:szCs w:val="18"/>
              </w:rPr>
            </w:pPr>
            <w:r w:rsidRPr="00BC488D">
              <w:rPr>
                <w:rFonts w:cs="Arial"/>
                <w:szCs w:val="18"/>
              </w:rPr>
              <w:t>CPP Component</w:t>
            </w:r>
          </w:p>
        </w:tc>
        <w:tc>
          <w:tcPr>
            <w:tcW w:w="1890" w:type="dxa"/>
            <w:vMerge w:val="restart"/>
            <w:vAlign w:val="center"/>
          </w:tcPr>
          <w:p w:rsidR="00880E97" w:rsidRPr="00BC488D" w:rsidRDefault="00880E97" w:rsidP="00DE0190">
            <w:pPr>
              <w:pStyle w:val="TableText"/>
              <w:spacing w:before="20" w:after="20"/>
              <w:contextualSpacing/>
              <w:rPr>
                <w:rFonts w:cs="Arial"/>
                <w:szCs w:val="18"/>
              </w:rPr>
            </w:pPr>
            <w:r>
              <w:rPr>
                <w:rFonts w:cs="Arial"/>
                <w:szCs w:val="18"/>
              </w:rPr>
              <w:t xml:space="preserve">Energy Charges and Credits </w:t>
            </w:r>
            <w:r>
              <w:rPr>
                <w:rFonts w:cs="Arial"/>
                <w:szCs w:val="18"/>
              </w:rPr>
              <w:br/>
              <w:t>(per kWh)</w:t>
            </w: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CPP Event Adder</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$1.20</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$1.36229</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$1.06282</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On-peak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$0.00</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8" w:type="dxa"/>
            <w:vAlign w:val="center"/>
          </w:tcPr>
          <w:p w:rsidR="00880E97" w:rsidRPr="00BC488D" w:rsidRDefault="00880E97" w:rsidP="00DE0190">
            <w:pPr>
              <w:pStyle w:val="TableText"/>
              <w:spacing w:before="20" w:after="20"/>
              <w:contextualSpacing/>
              <w:rPr>
                <w:rFonts w:cs="Arial"/>
                <w:color w:val="FF0000"/>
                <w:szCs w:val="18"/>
              </w:rPr>
            </w:pPr>
            <w:r w:rsidRPr="00BC488D">
              <w:rPr>
                <w:rFonts w:cs="Arial"/>
                <w:color w:val="FF0000"/>
                <w:szCs w:val="18"/>
              </w:rPr>
              <w:t>$(0.006460)</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Semi-peak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$0.00</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8" w:type="dxa"/>
            <w:vAlign w:val="center"/>
          </w:tcPr>
          <w:p w:rsidR="00880E97" w:rsidRPr="00BC488D" w:rsidRDefault="00880E97" w:rsidP="00DE0190">
            <w:pPr>
              <w:pStyle w:val="TableText"/>
              <w:spacing w:before="20" w:after="20"/>
              <w:contextualSpacing/>
              <w:rPr>
                <w:rFonts w:cs="Arial"/>
                <w:color w:val="FF0000"/>
                <w:szCs w:val="18"/>
              </w:rPr>
            </w:pPr>
            <w:r w:rsidRPr="00BC488D">
              <w:rPr>
                <w:rFonts w:cs="Arial"/>
                <w:color w:val="FF0000"/>
                <w:szCs w:val="18"/>
              </w:rPr>
              <w:t>$(0.06380)</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Off-peak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8" w:type="dxa"/>
            <w:vAlign w:val="center"/>
          </w:tcPr>
          <w:p w:rsidR="00880E97" w:rsidRPr="00BC488D" w:rsidRDefault="00880E97" w:rsidP="00DE0190">
            <w:pPr>
              <w:pStyle w:val="TableText"/>
              <w:spacing w:before="20" w:after="20"/>
              <w:contextualSpacing/>
              <w:rPr>
                <w:rFonts w:cs="Arial"/>
                <w:color w:val="FF0000"/>
                <w:szCs w:val="18"/>
              </w:rPr>
            </w:pPr>
            <w:r w:rsidRPr="00BC488D">
              <w:rPr>
                <w:rFonts w:cs="Arial"/>
                <w:color w:val="FF0000"/>
                <w:szCs w:val="18"/>
              </w:rPr>
              <w:t>$(0.005910)</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restart"/>
            <w:vAlign w:val="center"/>
          </w:tcPr>
          <w:p w:rsidR="00880E97" w:rsidRPr="00BC488D" w:rsidRDefault="00880E97" w:rsidP="00DE0190">
            <w:pPr>
              <w:pStyle w:val="TableText"/>
              <w:spacing w:before="20" w:after="20"/>
              <w:contextualSpacing/>
              <w:rPr>
                <w:rFonts w:cs="Arial"/>
                <w:szCs w:val="18"/>
              </w:rPr>
            </w:pPr>
            <w:r>
              <w:rPr>
                <w:rFonts w:cs="Arial"/>
                <w:szCs w:val="18"/>
              </w:rPr>
              <w:t xml:space="preserve">Demand Credits </w:t>
            </w:r>
            <w:r>
              <w:rPr>
                <w:rFonts w:cs="Arial"/>
                <w:szCs w:val="18"/>
              </w:rPr>
              <w:br/>
              <w:t>(per kW)</w:t>
            </w: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On-peak</w:t>
            </w:r>
          </w:p>
        </w:tc>
        <w:tc>
          <w:tcPr>
            <w:tcW w:w="967" w:type="dxa"/>
            <w:vAlign w:val="center"/>
          </w:tcPr>
          <w:p w:rsidR="00880E97" w:rsidRPr="00BC488D" w:rsidRDefault="00880E97" w:rsidP="00DE0190">
            <w:pPr>
              <w:pStyle w:val="TableText"/>
              <w:spacing w:before="20" w:after="20"/>
              <w:contextualSpacing/>
              <w:rPr>
                <w:rFonts w:cs="Arial"/>
                <w:color w:val="FF0000"/>
                <w:szCs w:val="18"/>
              </w:rPr>
            </w:pPr>
            <w:r w:rsidRPr="00BC488D">
              <w:rPr>
                <w:rFonts w:cs="Arial"/>
                <w:color w:val="FF0000"/>
                <w:szCs w:val="18"/>
              </w:rPr>
              <w:t>$(6.35)</w:t>
            </w:r>
          </w:p>
        </w:tc>
        <w:tc>
          <w:tcPr>
            <w:tcW w:w="1324" w:type="dxa"/>
            <w:vAlign w:val="center"/>
          </w:tcPr>
          <w:p w:rsidR="00880E97" w:rsidRPr="00BC488D" w:rsidRDefault="00880E97" w:rsidP="00DE0190">
            <w:pPr>
              <w:pStyle w:val="TableText"/>
              <w:spacing w:before="20" w:after="20"/>
              <w:contextualSpacing/>
              <w:rPr>
                <w:rFonts w:cs="Arial"/>
                <w:color w:val="FF0000"/>
                <w:szCs w:val="18"/>
              </w:rPr>
            </w:pPr>
            <w:r w:rsidRPr="00BC488D">
              <w:rPr>
                <w:rFonts w:cs="Arial"/>
                <w:color w:val="FF0000"/>
                <w:szCs w:val="18"/>
              </w:rPr>
              <w:t>$(11.62)</w:t>
            </w:r>
          </w:p>
        </w:tc>
        <w:tc>
          <w:tcPr>
            <w:tcW w:w="1328" w:type="dxa"/>
            <w:vAlign w:val="center"/>
          </w:tcPr>
          <w:p w:rsidR="00880E97" w:rsidRPr="00BC488D" w:rsidRDefault="00880E97" w:rsidP="00DE0190">
            <w:pPr>
              <w:pStyle w:val="TableText"/>
              <w:spacing w:before="20" w:after="20"/>
              <w:contextualSpacing/>
              <w:rPr>
                <w:rFonts w:cs="Arial"/>
                <w:color w:val="FF0000"/>
                <w:szCs w:val="18"/>
              </w:rPr>
            </w:pPr>
            <w:r w:rsidRPr="00BC488D">
              <w:rPr>
                <w:rFonts w:cs="Arial"/>
                <w:color w:val="FF0000"/>
                <w:szCs w:val="18"/>
              </w:rPr>
              <w:t>$(5.21)</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Semi-peak</w:t>
            </w:r>
          </w:p>
        </w:tc>
        <w:tc>
          <w:tcPr>
            <w:tcW w:w="967" w:type="dxa"/>
            <w:vAlign w:val="center"/>
          </w:tcPr>
          <w:p w:rsidR="00880E97" w:rsidRPr="00BC488D" w:rsidRDefault="00880E97" w:rsidP="00DE0190">
            <w:pPr>
              <w:pStyle w:val="TableText"/>
              <w:spacing w:before="20" w:after="20"/>
              <w:contextualSpacing/>
              <w:rPr>
                <w:rFonts w:cs="Arial"/>
                <w:color w:val="FF0000"/>
                <w:szCs w:val="18"/>
              </w:rPr>
            </w:pPr>
            <w:r w:rsidRPr="00BC488D">
              <w:rPr>
                <w:rFonts w:cs="Arial"/>
                <w:color w:val="FF0000"/>
                <w:szCs w:val="18"/>
              </w:rPr>
              <w:t>$(1.37)</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Align w:val="center"/>
          </w:tcPr>
          <w:p w:rsidR="00880E97" w:rsidRPr="00BC488D" w:rsidRDefault="00880E97" w:rsidP="00DE0190">
            <w:pPr>
              <w:pStyle w:val="TableText"/>
              <w:spacing w:before="20" w:after="20"/>
              <w:contextualSpacing/>
              <w:rPr>
                <w:rFonts w:cs="Arial"/>
                <w:szCs w:val="18"/>
              </w:rPr>
            </w:pPr>
            <w:r>
              <w:rPr>
                <w:rFonts w:cs="Arial"/>
                <w:szCs w:val="18"/>
              </w:rPr>
              <w:t xml:space="preserve">Capacity Reservation Charge </w:t>
            </w:r>
            <w:r>
              <w:rPr>
                <w:rFonts w:cs="Arial"/>
                <w:szCs w:val="18"/>
              </w:rPr>
              <w:br/>
              <w:t>(per kW per month)</w:t>
            </w: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Summer</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$13.05</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$6.42</w:t>
            </w:r>
          </w:p>
        </w:tc>
      </w:tr>
      <w:tr w:rsidR="00880E97" w:rsidTr="00DE0190">
        <w:trPr>
          <w:jc w:val="center"/>
        </w:trPr>
        <w:tc>
          <w:tcPr>
            <w:tcW w:w="1008" w:type="dxa"/>
            <w:vMerge w:val="restart"/>
            <w:vAlign w:val="center"/>
          </w:tcPr>
          <w:p w:rsidR="00880E97" w:rsidRPr="00BC488D" w:rsidRDefault="00880E97" w:rsidP="00DE0190">
            <w:pPr>
              <w:pStyle w:val="TableText"/>
              <w:spacing w:before="20" w:after="20"/>
              <w:contextualSpacing/>
              <w:rPr>
                <w:rFonts w:cs="Arial"/>
                <w:szCs w:val="18"/>
              </w:rPr>
            </w:pPr>
            <w:r>
              <w:rPr>
                <w:rFonts w:cs="Arial"/>
                <w:szCs w:val="18"/>
              </w:rPr>
              <w:t>Winter</w:t>
            </w:r>
          </w:p>
        </w:tc>
        <w:tc>
          <w:tcPr>
            <w:tcW w:w="1350" w:type="dxa"/>
            <w:vMerge w:val="restart"/>
            <w:vAlign w:val="center"/>
          </w:tcPr>
          <w:p w:rsidR="00880E97" w:rsidRPr="00BC488D" w:rsidRDefault="00880E97" w:rsidP="00DE0190">
            <w:pPr>
              <w:pStyle w:val="TableText"/>
              <w:spacing w:before="20" w:after="20"/>
              <w:contextualSpacing/>
              <w:rPr>
                <w:rFonts w:cs="Arial"/>
                <w:szCs w:val="18"/>
              </w:rPr>
            </w:pPr>
            <w:r w:rsidRPr="00BC488D">
              <w:rPr>
                <w:rFonts w:cs="Arial"/>
                <w:szCs w:val="18"/>
              </w:rPr>
              <w:t>TOU Component</w:t>
            </w:r>
          </w:p>
        </w:tc>
        <w:tc>
          <w:tcPr>
            <w:tcW w:w="1890" w:type="dxa"/>
            <w:vMerge w:val="restart"/>
            <w:vAlign w:val="center"/>
          </w:tcPr>
          <w:p w:rsidR="00880E97" w:rsidRPr="00BC488D" w:rsidRDefault="00880E97" w:rsidP="00DE0190">
            <w:pPr>
              <w:pStyle w:val="TableText"/>
              <w:spacing w:before="20" w:after="20"/>
              <w:contextualSpacing/>
              <w:rPr>
                <w:rFonts w:cs="Arial"/>
                <w:szCs w:val="18"/>
              </w:rPr>
            </w:pPr>
            <w:r>
              <w:rPr>
                <w:rFonts w:cs="Arial"/>
                <w:szCs w:val="18"/>
              </w:rPr>
              <w:t xml:space="preserve">Energy Charges </w:t>
            </w:r>
            <w:r>
              <w:rPr>
                <w:rFonts w:cs="Arial"/>
                <w:szCs w:val="18"/>
              </w:rPr>
              <w:br/>
              <w:t>(per kWh)</w:t>
            </w: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On-peak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$0.13403</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Semi-peak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$0.09063</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$0.06987</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$0.12574</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Off-peak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$0.07320</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$0.05412</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$0.10558</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restart"/>
            <w:vAlign w:val="center"/>
          </w:tcPr>
          <w:p w:rsidR="00880E97" w:rsidRPr="00BC488D" w:rsidRDefault="00880E97" w:rsidP="00DE0190">
            <w:pPr>
              <w:pStyle w:val="TableText"/>
              <w:spacing w:before="20" w:after="20"/>
              <w:contextualSpacing/>
              <w:rPr>
                <w:rFonts w:cs="Arial"/>
                <w:szCs w:val="18"/>
              </w:rPr>
            </w:pPr>
            <w:r>
              <w:rPr>
                <w:rFonts w:cs="Arial"/>
                <w:szCs w:val="18"/>
              </w:rPr>
              <w:t>Demand Charges (per kW)</w:t>
            </w: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On-peak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4" w:type="dxa"/>
            <w:vAlign w:val="center"/>
          </w:tcPr>
          <w:p w:rsidR="00880E97" w:rsidRPr="00BC488D" w:rsidRDefault="00CA470C" w:rsidP="00DE0190">
            <w:pPr>
              <w:pStyle w:val="TableText"/>
              <w:spacing w:before="20" w:after="20"/>
              <w:contextualSpacing/>
              <w:rPr>
                <w:rFonts w:cs="Arial"/>
                <w:szCs w:val="18"/>
              </w:rPr>
            </w:pPr>
            <w:r>
              <w:rPr>
                <w:rFonts w:cs="Arial"/>
                <w:szCs w:val="18"/>
              </w:rPr>
              <w:t>–</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$4.92</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Semi-peak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$0.21</w:t>
            </w:r>
          </w:p>
        </w:tc>
        <w:tc>
          <w:tcPr>
            <w:tcW w:w="1324" w:type="dxa"/>
            <w:vAlign w:val="center"/>
          </w:tcPr>
          <w:p w:rsidR="00880E97" w:rsidRPr="00BC488D" w:rsidRDefault="00CA470C" w:rsidP="00DE0190">
            <w:pPr>
              <w:pStyle w:val="TableText"/>
              <w:spacing w:before="20" w:after="20"/>
              <w:contextualSpacing/>
              <w:rPr>
                <w:rFonts w:cs="Arial"/>
                <w:szCs w:val="18"/>
              </w:rPr>
            </w:pPr>
            <w:r>
              <w:rPr>
                <w:rFonts w:cs="Arial"/>
                <w:szCs w:val="18"/>
              </w:rPr>
              <w:t>–</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r>
      <w:tr w:rsidR="00880E97" w:rsidTr="00DE0190">
        <w:trPr>
          <w:trHeight w:val="54"/>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DE0190">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Maximum</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$11.85</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$13.30</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$13.57</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restart"/>
            <w:vAlign w:val="center"/>
          </w:tcPr>
          <w:p w:rsidR="00880E97" w:rsidRPr="00BC488D" w:rsidRDefault="00880E97" w:rsidP="00196F33">
            <w:pPr>
              <w:pStyle w:val="TableText"/>
              <w:spacing w:before="20" w:after="20"/>
              <w:contextualSpacing/>
              <w:rPr>
                <w:rFonts w:cs="Arial"/>
                <w:szCs w:val="18"/>
              </w:rPr>
            </w:pPr>
            <w:r w:rsidRPr="00BC488D">
              <w:rPr>
                <w:rFonts w:cs="Arial"/>
                <w:szCs w:val="18"/>
              </w:rPr>
              <w:t>CPP Component</w:t>
            </w:r>
          </w:p>
        </w:tc>
        <w:tc>
          <w:tcPr>
            <w:tcW w:w="1890" w:type="dxa"/>
            <w:vMerge w:val="restart"/>
            <w:vAlign w:val="center"/>
          </w:tcPr>
          <w:p w:rsidR="00880E97" w:rsidRPr="00BC488D" w:rsidRDefault="00880E97" w:rsidP="00DE0190">
            <w:pPr>
              <w:pStyle w:val="TableText"/>
              <w:spacing w:before="20" w:after="20"/>
              <w:contextualSpacing/>
              <w:rPr>
                <w:rFonts w:cs="Arial"/>
                <w:szCs w:val="18"/>
              </w:rPr>
            </w:pPr>
            <w:r>
              <w:rPr>
                <w:rFonts w:cs="Arial"/>
                <w:szCs w:val="18"/>
              </w:rPr>
              <w:t>Energy Charges and Credits (per kWh)</w:t>
            </w: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CPP Event Adder</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$1.20</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$1.06282</w:t>
            </w:r>
          </w:p>
        </w:tc>
      </w:tr>
      <w:tr w:rsidR="00880E97" w:rsidTr="00DE0190">
        <w:trPr>
          <w:trHeight w:val="54"/>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196F33">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On-peak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8" w:type="dxa"/>
            <w:vAlign w:val="center"/>
          </w:tcPr>
          <w:p w:rsidR="00880E97" w:rsidRPr="00BC488D" w:rsidRDefault="00880E97" w:rsidP="00DE0190">
            <w:pPr>
              <w:pStyle w:val="TableText"/>
              <w:spacing w:before="20" w:after="20"/>
              <w:contextualSpacing/>
              <w:rPr>
                <w:rFonts w:cs="Arial"/>
                <w:color w:val="FF0000"/>
                <w:szCs w:val="18"/>
              </w:rPr>
            </w:pPr>
            <w:r w:rsidRPr="00BC488D">
              <w:rPr>
                <w:rFonts w:cs="Arial"/>
                <w:color w:val="FF0000"/>
                <w:szCs w:val="18"/>
              </w:rPr>
              <w:t>$(0.00593)</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196F33">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Semi-peak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8" w:type="dxa"/>
            <w:vAlign w:val="center"/>
          </w:tcPr>
          <w:p w:rsidR="00880E97" w:rsidRPr="00BC488D" w:rsidRDefault="00880E97" w:rsidP="00DE0190">
            <w:pPr>
              <w:pStyle w:val="TableText"/>
              <w:spacing w:before="20" w:after="20"/>
              <w:contextualSpacing/>
              <w:rPr>
                <w:rFonts w:cs="Arial"/>
                <w:color w:val="FF0000"/>
                <w:szCs w:val="18"/>
              </w:rPr>
            </w:pPr>
            <w:r w:rsidRPr="00BC488D">
              <w:rPr>
                <w:rFonts w:cs="Arial"/>
                <w:color w:val="FF0000"/>
                <w:szCs w:val="18"/>
              </w:rPr>
              <w:t>$(0.00593)</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196F33">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Off-peak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8" w:type="dxa"/>
            <w:vAlign w:val="center"/>
          </w:tcPr>
          <w:p w:rsidR="00880E97" w:rsidRPr="00BC488D" w:rsidRDefault="00880E97" w:rsidP="00DE0190">
            <w:pPr>
              <w:pStyle w:val="TableText"/>
              <w:spacing w:before="20" w:after="20"/>
              <w:contextualSpacing/>
              <w:rPr>
                <w:rFonts w:cs="Arial"/>
                <w:color w:val="FF0000"/>
                <w:szCs w:val="18"/>
              </w:rPr>
            </w:pPr>
            <w:r w:rsidRPr="00BC488D">
              <w:rPr>
                <w:rFonts w:cs="Arial"/>
                <w:color w:val="FF0000"/>
                <w:szCs w:val="18"/>
              </w:rPr>
              <w:t>$(0.00592)</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196F33">
            <w:pPr>
              <w:pStyle w:val="TableText"/>
              <w:spacing w:before="20" w:after="20"/>
              <w:contextualSpacing/>
              <w:rPr>
                <w:rFonts w:cs="Arial"/>
                <w:szCs w:val="18"/>
              </w:rPr>
            </w:pPr>
          </w:p>
        </w:tc>
        <w:tc>
          <w:tcPr>
            <w:tcW w:w="1890" w:type="dxa"/>
            <w:vMerge w:val="restart"/>
            <w:vAlign w:val="center"/>
          </w:tcPr>
          <w:p w:rsidR="00880E97" w:rsidRPr="00BC488D" w:rsidRDefault="00880E97" w:rsidP="00DE0190">
            <w:pPr>
              <w:pStyle w:val="TableText"/>
              <w:spacing w:before="20" w:after="20"/>
              <w:contextualSpacing/>
              <w:rPr>
                <w:rFonts w:cs="Arial"/>
                <w:szCs w:val="18"/>
              </w:rPr>
            </w:pPr>
            <w:r>
              <w:rPr>
                <w:rFonts w:cs="Arial"/>
                <w:szCs w:val="18"/>
              </w:rPr>
              <w:t xml:space="preserve">Demand Credits </w:t>
            </w:r>
            <w:r>
              <w:rPr>
                <w:rFonts w:cs="Arial"/>
                <w:szCs w:val="18"/>
              </w:rPr>
              <w:br/>
              <w:t>(per kW)</w:t>
            </w: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On-peak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color w:val="FF0000"/>
                <w:szCs w:val="18"/>
              </w:rPr>
              <w:t>$(0.17)</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196F33">
            <w:pPr>
              <w:pStyle w:val="TableText"/>
              <w:spacing w:before="20" w:after="20"/>
              <w:contextualSpacing/>
              <w:rPr>
                <w:rFonts w:cs="Arial"/>
                <w:szCs w:val="18"/>
              </w:rPr>
            </w:pPr>
          </w:p>
        </w:tc>
        <w:tc>
          <w:tcPr>
            <w:tcW w:w="1890" w:type="dxa"/>
            <w:vMerge/>
            <w:vAlign w:val="center"/>
          </w:tcPr>
          <w:p w:rsidR="00880E97" w:rsidRPr="00BC488D" w:rsidRDefault="00880E97" w:rsidP="00DE0190">
            <w:pPr>
              <w:pStyle w:val="TableText"/>
              <w:spacing w:before="20" w:after="20"/>
              <w:contextualSpacing/>
              <w:rPr>
                <w:rFonts w:cs="Arial"/>
                <w:szCs w:val="18"/>
              </w:rPr>
            </w:pP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Semi-peak</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r>
      <w:tr w:rsidR="00880E97" w:rsidTr="00DE0190">
        <w:trPr>
          <w:jc w:val="center"/>
        </w:trPr>
        <w:tc>
          <w:tcPr>
            <w:tcW w:w="1008" w:type="dxa"/>
            <w:vMerge/>
            <w:vAlign w:val="center"/>
          </w:tcPr>
          <w:p w:rsidR="00880E97" w:rsidRPr="00BC488D" w:rsidRDefault="00880E97" w:rsidP="00DE0190">
            <w:pPr>
              <w:pStyle w:val="TableText"/>
              <w:spacing w:before="20" w:after="20"/>
              <w:contextualSpacing/>
              <w:rPr>
                <w:rFonts w:cs="Arial"/>
                <w:szCs w:val="18"/>
              </w:rPr>
            </w:pPr>
          </w:p>
        </w:tc>
        <w:tc>
          <w:tcPr>
            <w:tcW w:w="1350" w:type="dxa"/>
            <w:vMerge/>
            <w:vAlign w:val="center"/>
          </w:tcPr>
          <w:p w:rsidR="00880E97" w:rsidRPr="00BC488D" w:rsidRDefault="00880E97" w:rsidP="00196F33">
            <w:pPr>
              <w:pStyle w:val="TableText"/>
              <w:spacing w:before="20" w:after="20"/>
              <w:contextualSpacing/>
              <w:rPr>
                <w:rFonts w:cs="Arial"/>
                <w:szCs w:val="18"/>
              </w:rPr>
            </w:pPr>
          </w:p>
        </w:tc>
        <w:tc>
          <w:tcPr>
            <w:tcW w:w="1890" w:type="dxa"/>
            <w:vAlign w:val="center"/>
          </w:tcPr>
          <w:p w:rsidR="00880E97" w:rsidRDefault="00880E97" w:rsidP="00DE0190">
            <w:pPr>
              <w:pStyle w:val="TableText"/>
              <w:spacing w:before="20" w:after="20"/>
              <w:contextualSpacing/>
              <w:rPr>
                <w:rFonts w:cs="Arial"/>
                <w:szCs w:val="18"/>
              </w:rPr>
            </w:pPr>
            <w:r>
              <w:rPr>
                <w:rFonts w:cs="Arial"/>
                <w:szCs w:val="18"/>
              </w:rPr>
              <w:t>Capacity Reservation Charge</w:t>
            </w:r>
          </w:p>
          <w:p w:rsidR="00880E97" w:rsidRPr="00BC488D" w:rsidRDefault="00880E97" w:rsidP="00DE0190">
            <w:pPr>
              <w:pStyle w:val="TableText"/>
              <w:spacing w:before="20" w:after="20"/>
              <w:contextualSpacing/>
              <w:rPr>
                <w:rFonts w:cs="Arial"/>
                <w:szCs w:val="18"/>
              </w:rPr>
            </w:pPr>
            <w:r>
              <w:rPr>
                <w:rFonts w:cs="Arial"/>
                <w:szCs w:val="18"/>
              </w:rPr>
              <w:t>(per kW per month)</w:t>
            </w:r>
          </w:p>
        </w:tc>
        <w:tc>
          <w:tcPr>
            <w:tcW w:w="1709"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Winter</w:t>
            </w:r>
          </w:p>
        </w:tc>
        <w:tc>
          <w:tcPr>
            <w:tcW w:w="967"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$1.12</w:t>
            </w:r>
          </w:p>
        </w:tc>
        <w:tc>
          <w:tcPr>
            <w:tcW w:w="1324"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NA</w:t>
            </w:r>
          </w:p>
        </w:tc>
        <w:tc>
          <w:tcPr>
            <w:tcW w:w="1328" w:type="dxa"/>
            <w:vAlign w:val="center"/>
          </w:tcPr>
          <w:p w:rsidR="00880E97" w:rsidRPr="00BC488D" w:rsidRDefault="00880E97" w:rsidP="00DE0190">
            <w:pPr>
              <w:pStyle w:val="TableText"/>
              <w:spacing w:before="20" w:after="20"/>
              <w:contextualSpacing/>
              <w:rPr>
                <w:rFonts w:cs="Arial"/>
                <w:szCs w:val="18"/>
              </w:rPr>
            </w:pPr>
            <w:r w:rsidRPr="00BC488D">
              <w:rPr>
                <w:rFonts w:cs="Arial"/>
                <w:szCs w:val="18"/>
              </w:rPr>
              <w:t>$6.42</w:t>
            </w:r>
          </w:p>
        </w:tc>
      </w:tr>
    </w:tbl>
    <w:p w:rsidR="00461621" w:rsidRDefault="00461621" w:rsidP="00DE0190">
      <w:pPr>
        <w:pStyle w:val="Heading2"/>
        <w:spacing w:before="360"/>
      </w:pPr>
      <w:bookmarkStart w:id="41" w:name="_Toc326072093"/>
      <w:bookmarkStart w:id="42" w:name="_Toc352323623"/>
      <w:r w:rsidRPr="00056D0A">
        <w:t>Report</w:t>
      </w:r>
      <w:r>
        <w:t xml:space="preserve"> Organization</w:t>
      </w:r>
      <w:bookmarkEnd w:id="41"/>
      <w:bookmarkEnd w:id="42"/>
    </w:p>
    <w:p w:rsidR="00BD250C" w:rsidRDefault="00461621" w:rsidP="00056D0A">
      <w:pPr>
        <w:pStyle w:val="BodyParagraph"/>
      </w:pPr>
      <w:r w:rsidRPr="00425FD3">
        <w:t>The remainder of this document is separated into</w:t>
      </w:r>
      <w:r w:rsidR="003D1CED">
        <w:t xml:space="preserve"> four</w:t>
      </w:r>
      <w:r w:rsidRPr="00425FD3">
        <w:t xml:space="preserve"> sections</w:t>
      </w:r>
      <w:r>
        <w:t xml:space="preserve"> and </w:t>
      </w:r>
      <w:r w:rsidR="003D1CED">
        <w:t>two</w:t>
      </w:r>
      <w:r>
        <w:t xml:space="preserve"> appendices</w:t>
      </w:r>
      <w:r w:rsidR="003D1CED">
        <w:t xml:space="preserve">.  </w:t>
      </w:r>
      <w:r w:rsidRPr="00425FD3">
        <w:t xml:space="preserve">Section 3 discusses the methodology employed to estimate </w:t>
      </w:r>
      <w:r>
        <w:t xml:space="preserve">ex post </w:t>
      </w:r>
      <w:r w:rsidRPr="00425FD3">
        <w:t>load impacts.  PG&amp;E’s ex post results are presented in Section 4, SCE’s in Se</w:t>
      </w:r>
      <w:r>
        <w:t>cti</w:t>
      </w:r>
      <w:r w:rsidR="003D1CED">
        <w:t xml:space="preserve">on 5 and SDG&amp;E’s in Section 6.  </w:t>
      </w:r>
      <w:r w:rsidR="0045025A">
        <w:t>Sections 7, 8 and 9 present ex</w:t>
      </w:r>
      <w:r w:rsidR="00874CA9">
        <w:t> </w:t>
      </w:r>
      <w:r w:rsidR="0045025A">
        <w:t xml:space="preserve">ante load impact forecasts for PG&amp;E, SCE and SDG&amp;E, respectively.  Appendix A contains the </w:t>
      </w:r>
      <w:r w:rsidR="0045025A">
        <w:lastRenderedPageBreak/>
        <w:t xml:space="preserve">difference-in-differences regression model specifications.  Appendix B presents the results of the false experiment testing used for selecting proxy CPP event days. </w:t>
      </w:r>
      <w:r w:rsidR="005E7516">
        <w:t xml:space="preserve"> Appendix C provides an overview of the individual regression models. </w:t>
      </w:r>
      <w:r w:rsidR="00874CA9">
        <w:t xml:space="preserve"> </w:t>
      </w:r>
      <w:r w:rsidR="0045025A">
        <w:t xml:space="preserve">Portfolio-adjusted ex ante load impact forecasts are given in Appendix </w:t>
      </w:r>
      <w:r w:rsidR="005E7516">
        <w:t>D</w:t>
      </w:r>
      <w:r w:rsidR="0045025A">
        <w:t xml:space="preserve">.  </w:t>
      </w:r>
      <w:r w:rsidR="003D1CED">
        <w:t>E</w:t>
      </w:r>
      <w:r w:rsidRPr="00425FD3">
        <w:t xml:space="preserve">lectronic ex post </w:t>
      </w:r>
      <w:r w:rsidR="0045025A">
        <w:t xml:space="preserve">and ex ante </w:t>
      </w:r>
      <w:r w:rsidRPr="00425FD3">
        <w:t>tables that provide hourly load impacts for individual event days and across</w:t>
      </w:r>
      <w:r w:rsidR="003D1CED">
        <w:t xml:space="preserve"> customer</w:t>
      </w:r>
      <w:r w:rsidRPr="00425FD3">
        <w:t xml:space="preserve"> segments are included with this </w:t>
      </w:r>
      <w:r>
        <w:t>report.</w:t>
      </w:r>
    </w:p>
    <w:p w:rsidR="00BD250C" w:rsidRDefault="00BD250C">
      <w:pPr>
        <w:rPr>
          <w:rFonts w:ascii="Verdana" w:hAnsi="Verdana"/>
          <w:sz w:val="18"/>
        </w:rPr>
      </w:pPr>
      <w:r>
        <w:br w:type="page"/>
      </w:r>
    </w:p>
    <w:p w:rsidR="002B5AC6" w:rsidRDefault="002B5AC6" w:rsidP="001C4623">
      <w:pPr>
        <w:pStyle w:val="Heading1"/>
        <w:numPr>
          <w:ilvl w:val="0"/>
          <w:numId w:val="11"/>
        </w:numPr>
      </w:pPr>
      <w:bookmarkStart w:id="43" w:name="_Toc351364808"/>
      <w:bookmarkStart w:id="44" w:name="_Toc351455149"/>
      <w:bookmarkStart w:id="45" w:name="_Toc351391604"/>
      <w:bookmarkStart w:id="46" w:name="_Toc351364812"/>
      <w:bookmarkStart w:id="47" w:name="_Toc289178000"/>
      <w:bookmarkStart w:id="48" w:name="_Toc326072101"/>
      <w:bookmarkStart w:id="49" w:name="_Toc352323624"/>
      <w:r w:rsidRPr="00056D0A">
        <w:lastRenderedPageBreak/>
        <w:t>Methodology</w:t>
      </w:r>
      <w:bookmarkEnd w:id="43"/>
      <w:bookmarkEnd w:id="44"/>
      <w:bookmarkEnd w:id="49"/>
    </w:p>
    <w:p w:rsidR="002B5AC6" w:rsidRDefault="002B5AC6" w:rsidP="002B5AC6">
      <w:pPr>
        <w:pStyle w:val="BodyParagraph"/>
      </w:pPr>
      <w:r w:rsidRPr="00DE0AB2">
        <w:t>CPP tariffs introduce two changes in</w:t>
      </w:r>
      <w:r>
        <w:t xml:space="preserve"> pricing.  First, participants pay a </w:t>
      </w:r>
      <w:r w:rsidRPr="00DE0AB2">
        <w:t xml:space="preserve">higher price </w:t>
      </w:r>
      <w:r>
        <w:t>for electricity</w:t>
      </w:r>
      <w:r w:rsidRPr="00DE0AB2">
        <w:t xml:space="preserve"> during </w:t>
      </w:r>
      <w:r>
        <w:t xml:space="preserve">peak </w:t>
      </w:r>
      <w:r w:rsidRPr="004F0234">
        <w:t>hours</w:t>
      </w:r>
      <w:r>
        <w:t xml:space="preserve"> on </w:t>
      </w:r>
      <w:r w:rsidRPr="00DE0AB2">
        <w:t>critical event days</w:t>
      </w:r>
      <w:r>
        <w:t>, which is designed to encourage reductions in demand.  Second, participants receive a discount during non-event hours.  For all three utilities, the rate discount for large and medium customers</w:t>
      </w:r>
      <w:r>
        <w:rPr>
          <w:rStyle w:val="FootnoteReference"/>
        </w:rPr>
        <w:footnoteReference w:id="6"/>
      </w:r>
      <w:r>
        <w:t xml:space="preserve"> has been implemented primarily in the form of a reduction in summer on-peak demand charges.  </w:t>
      </w:r>
    </w:p>
    <w:p w:rsidR="002B5AC6" w:rsidRDefault="002B5AC6" w:rsidP="002B5AC6">
      <w:pPr>
        <w:pStyle w:val="BodyParagraph"/>
      </w:pPr>
      <w:r>
        <w:t xml:space="preserve">The impacts estimated for 2012 focus on the incremental effect of event day prices on demand relative to peak period demand on non-CPP days.  The impact of the rate discount on other rate periods are not estimated for three reasons: prior analyses in 2010 and 2011 did not find statistically significant impacts due to the rate discount; the pre-enrollment data needed to quantify the effect of the rate </w:t>
      </w:r>
      <w:r w:rsidRPr="004F0234">
        <w:t>discount</w:t>
      </w:r>
      <w:r>
        <w:t xml:space="preserve"> is too distant (four or five years prior); and any changes are by now embedded in system load forecasts (and not incremental). </w:t>
      </w:r>
    </w:p>
    <w:p w:rsidR="002B5AC6" w:rsidRDefault="002B5AC6" w:rsidP="002B5AC6">
      <w:pPr>
        <w:pStyle w:val="BodyBeforeBullet"/>
      </w:pPr>
      <w:r>
        <w:t xml:space="preserve">The remainder of this section: </w:t>
      </w:r>
    </w:p>
    <w:p w:rsidR="002B5AC6" w:rsidRDefault="002B5AC6" w:rsidP="002B5AC6">
      <w:pPr>
        <w:pStyle w:val="Bullets"/>
      </w:pPr>
      <w:r>
        <w:t>Describes the ex post evaluation method selected;</w:t>
      </w:r>
    </w:p>
    <w:p w:rsidR="002B5AC6" w:rsidRDefault="002B5AC6" w:rsidP="002B5AC6">
      <w:pPr>
        <w:pStyle w:val="Bullets"/>
      </w:pPr>
      <w:r>
        <w:t xml:space="preserve">Compares the CPP and control group customer characteristics for all three utilities; </w:t>
      </w:r>
    </w:p>
    <w:p w:rsidR="002B5AC6" w:rsidRDefault="002B5AC6" w:rsidP="002B5AC6">
      <w:pPr>
        <w:pStyle w:val="Bullets"/>
      </w:pPr>
      <w:r>
        <w:t xml:space="preserve">Describes the primary regression models and estimating sample used for ex post evaluation; </w:t>
      </w:r>
    </w:p>
    <w:p w:rsidR="002B5AC6" w:rsidRDefault="002B5AC6" w:rsidP="002B5AC6">
      <w:pPr>
        <w:pStyle w:val="Bullets"/>
      </w:pPr>
      <w:r>
        <w:t>Presents the results from validation tests used to assess the accuracy of the methods; and</w:t>
      </w:r>
    </w:p>
    <w:p w:rsidR="002B5AC6" w:rsidRDefault="002B5AC6" w:rsidP="002B5AC6">
      <w:pPr>
        <w:pStyle w:val="BulletLast"/>
        <w:contextualSpacing/>
      </w:pPr>
      <w:r>
        <w:t>Explains the methodology used to develop ex ante load impacts.</w:t>
      </w:r>
    </w:p>
    <w:p w:rsidR="002B5AC6" w:rsidRDefault="002B5AC6" w:rsidP="001C4623">
      <w:pPr>
        <w:pStyle w:val="Heading2"/>
      </w:pPr>
      <w:bookmarkStart w:id="50" w:name="_Toc351455150"/>
      <w:bookmarkStart w:id="51" w:name="_Toc352323625"/>
      <w:r>
        <w:t xml:space="preserve">Ex post </w:t>
      </w:r>
      <w:r w:rsidRPr="001C4623">
        <w:t>Evaluation</w:t>
      </w:r>
      <w:r>
        <w:t xml:space="preserve"> Methodology</w:t>
      </w:r>
      <w:bookmarkEnd w:id="50"/>
      <w:bookmarkEnd w:id="51"/>
    </w:p>
    <w:p w:rsidR="002B5AC6" w:rsidRDefault="002B5AC6" w:rsidP="002B5AC6">
      <w:pPr>
        <w:pStyle w:val="BodyParagraph"/>
      </w:pPr>
      <w:r w:rsidRPr="004A1B3C">
        <w:t xml:space="preserve">Ex post evaluation is designed to estimate demand reductions on </w:t>
      </w:r>
      <w:r>
        <w:t xml:space="preserve">event </w:t>
      </w:r>
      <w:r w:rsidRPr="004A1B3C">
        <w:t xml:space="preserve">days when higher CPP prices </w:t>
      </w:r>
      <w:r>
        <w:t>a</w:t>
      </w:r>
      <w:r w:rsidRPr="004A1B3C">
        <w:t>re in effect.  Ex post impacts reflect the enrollment mix, weather, dispatch strategy and program rules in effect at the time of each event and, as a result, may not reflect the full demand reduction capability of a resource.  For example, if a resource is weather-sensitive and delivers larger demand</w:t>
      </w:r>
      <w:r>
        <w:t> </w:t>
      </w:r>
      <w:r w:rsidRPr="004A1B3C">
        <w:t>reductions on hotter days, ex post events under cooler weather conditions understate the</w:t>
      </w:r>
      <w:r>
        <w:t> </w:t>
      </w:r>
      <w:r w:rsidRPr="004A1B3C">
        <w:t>resource’s</w:t>
      </w:r>
      <w:r>
        <w:t> </w:t>
      </w:r>
      <w:r w:rsidRPr="004A1B3C">
        <w:t>capability.</w:t>
      </w:r>
    </w:p>
    <w:p w:rsidR="002B5AC6" w:rsidRDefault="002B5AC6" w:rsidP="002B5AC6">
      <w:pPr>
        <w:pStyle w:val="BodyParagraph"/>
      </w:pPr>
      <w:r>
        <w:t xml:space="preserve">To calculate load reductions for demand response programs, customers’ load patterns in the absence of event day higher prices – the reference load – must be estimated.  Reference loads can be estimated </w:t>
      </w:r>
      <w:r w:rsidRPr="000A294F">
        <w:t>using pre-enrollment data</w:t>
      </w:r>
      <w:r>
        <w:t>, by observing</w:t>
      </w:r>
      <w:r w:rsidRPr="000A294F">
        <w:t xml:space="preserve"> </w:t>
      </w:r>
      <w:r>
        <w:t xml:space="preserve">differences in </w:t>
      </w:r>
      <w:r w:rsidRPr="000A294F">
        <w:t xml:space="preserve">behavior during </w:t>
      </w:r>
      <w:r>
        <w:t xml:space="preserve">event and </w:t>
      </w:r>
      <w:r w:rsidRPr="000A294F">
        <w:t>non-event d</w:t>
      </w:r>
      <w:r>
        <w:t xml:space="preserve">ays (i.e., a </w:t>
      </w:r>
      <w:r w:rsidRPr="00A3685E">
        <w:rPr>
          <w:i/>
        </w:rPr>
        <w:t>within</w:t>
      </w:r>
      <w:r w:rsidR="002F60B8">
        <w:rPr>
          <w:i/>
        </w:rPr>
        <w:t>-</w:t>
      </w:r>
      <w:r w:rsidRPr="00A3685E">
        <w:rPr>
          <w:i/>
        </w:rPr>
        <w:t>subjects</w:t>
      </w:r>
      <w:r>
        <w:t xml:space="preserve"> design), by using an external control group (a </w:t>
      </w:r>
      <w:r w:rsidRPr="00A3685E">
        <w:rPr>
          <w:i/>
        </w:rPr>
        <w:t>between</w:t>
      </w:r>
      <w:r w:rsidR="002F60B8">
        <w:rPr>
          <w:i/>
        </w:rPr>
        <w:t>-</w:t>
      </w:r>
      <w:r w:rsidRPr="00A3685E">
        <w:rPr>
          <w:i/>
        </w:rPr>
        <w:t>subjects</w:t>
      </w:r>
      <w:r>
        <w:t xml:space="preserve"> design) or through a combination of the above.  </w:t>
      </w:r>
    </w:p>
    <w:p w:rsidR="002B5AC6" w:rsidRDefault="002B5AC6" w:rsidP="002B5AC6">
      <w:pPr>
        <w:pStyle w:val="BodyBeforeBullet"/>
      </w:pPr>
      <w:r>
        <w:t xml:space="preserve">2012 load impacts were estimated using two methods: </w:t>
      </w:r>
    </w:p>
    <w:p w:rsidR="002B5AC6" w:rsidRDefault="002B5AC6" w:rsidP="002B5AC6">
      <w:pPr>
        <w:pStyle w:val="Bullets"/>
      </w:pPr>
      <w:r>
        <w:t>Difference-in-differences panel regressions – this method makes use of both an external control group and non-event day data; and</w:t>
      </w:r>
    </w:p>
    <w:p w:rsidR="002B5AC6" w:rsidRDefault="002B5AC6" w:rsidP="002B5AC6">
      <w:pPr>
        <w:pStyle w:val="BulletLast"/>
      </w:pPr>
      <w:r>
        <w:t xml:space="preserve">Individual customer regressions – this approach relies on electricity usage patterns for individual customers on non-event days to estimate the reference load for event days.  Individual customer regressions are used primarily for comparative purposes in the ex post estimation setting, but as the primary estimation method in the ex ante setting. </w:t>
      </w:r>
    </w:p>
    <w:p w:rsidR="002B5AC6" w:rsidRDefault="002B5AC6" w:rsidP="002B5AC6">
      <w:pPr>
        <w:pStyle w:val="BodyParagraph"/>
      </w:pPr>
      <w:r>
        <w:lastRenderedPageBreak/>
        <w:t xml:space="preserve">Although the estimated load impacts for the average event day are quite similar for both approaches for all three utilities, the primary ex post impacts reported here rely on the difference-in-differences panel regressions.  The difference-in-differences approach produces more accurate results for individual CPP days when tested side-by-side with individual customer regressions.  </w:t>
      </w:r>
      <w:r w:rsidR="00B15979">
        <w:t>In other words</w:t>
      </w:r>
      <w:r>
        <w:t xml:space="preserve">, the difference-in-differences method produces individual event day results that are less noisy, but the average impacts across all days are quite similar for the two methods.  </w:t>
      </w:r>
    </w:p>
    <w:p w:rsidR="002B5AC6" w:rsidRDefault="002B5AC6" w:rsidP="002B5AC6">
      <w:pPr>
        <w:pStyle w:val="BodyParagraph"/>
      </w:pPr>
      <w:r w:rsidRPr="005605A9">
        <w:t xml:space="preserve">In addition to </w:t>
      </w:r>
      <w:r>
        <w:t xml:space="preserve">improved </w:t>
      </w:r>
      <w:r w:rsidRPr="005605A9">
        <w:t xml:space="preserve">accuracy and precision, there are </w:t>
      </w:r>
      <w:r>
        <w:t xml:space="preserve">other </w:t>
      </w:r>
      <w:r w:rsidRPr="005605A9">
        <w:t xml:space="preserve">reasons </w:t>
      </w:r>
      <w:r>
        <w:t>to use the difference-in-differences method</w:t>
      </w:r>
      <w:r w:rsidRPr="005605A9">
        <w:t>.</w:t>
      </w:r>
      <w:r>
        <w:t xml:space="preserve">  A control group provides information about how program participants would have used electricity if they were not exposed to CPP event prices and notification.  The control groups developed for the 2012 evaluation are nearly identical to CPP participants across observable characteristics and mirror their usage during hot non-event days.  Moreover, the difference-in-differences method makes use of both hot non-event days and a control group. </w:t>
      </w:r>
    </w:p>
    <w:p w:rsidR="002B5AC6" w:rsidRDefault="002B5AC6" w:rsidP="002B5AC6">
      <w:pPr>
        <w:pStyle w:val="BodyParagraph"/>
      </w:pPr>
      <w:r>
        <w:t xml:space="preserve">In addition, the difference-in-differences calculation is simpler, transparent and does not require predicting out of sample using models that may suffer from specification error.  Put another way, the difference-in-differences method still works when events are called on nearly all hot days, whereas individual customer regressions have lower accuracy when most or all hot days are event days.  This approach also performed well in validation tests, as explained in Section 3.3.    </w:t>
      </w:r>
    </w:p>
    <w:p w:rsidR="002B5AC6" w:rsidRDefault="002B5AC6" w:rsidP="001C4623">
      <w:pPr>
        <w:pStyle w:val="Heading3"/>
      </w:pPr>
      <w:bookmarkStart w:id="52" w:name="_Toc347226683"/>
      <w:bookmarkStart w:id="53" w:name="_Toc351364809"/>
      <w:bookmarkStart w:id="54" w:name="_Toc351455151"/>
      <w:bookmarkStart w:id="55" w:name="_Toc352323626"/>
      <w:r w:rsidRPr="001C4623">
        <w:t>Comparison</w:t>
      </w:r>
      <w:r>
        <w:t xml:space="preserve"> of Control Groups and CPP Population</w:t>
      </w:r>
      <w:bookmarkEnd w:id="52"/>
      <w:bookmarkEnd w:id="53"/>
      <w:bookmarkEnd w:id="54"/>
      <w:bookmarkEnd w:id="55"/>
    </w:p>
    <w:p w:rsidR="002B5AC6" w:rsidRDefault="002B5AC6" w:rsidP="002B5AC6">
      <w:pPr>
        <w:pStyle w:val="BodyParagraph"/>
      </w:pPr>
      <w:r>
        <w:t>Propensity score matching was used to select valid control groups for each utility and relevant customer segment.  This method is a standard approach for identifying statistical look-alikes from a pool of control group candidates</w:t>
      </w:r>
      <w:r>
        <w:rPr>
          <w:rStyle w:val="FootnoteReference"/>
        </w:rPr>
        <w:footnoteReference w:id="7"/>
      </w:r>
      <w:r>
        <w:t xml:space="preserve"> and it explicitly addresses self-selection onto CPP tariffs based on </w:t>
      </w:r>
      <w:r w:rsidRPr="00DF0F26">
        <w:rPr>
          <w:i/>
        </w:rPr>
        <w:t xml:space="preserve">observable </w:t>
      </w:r>
      <w:r w:rsidRPr="00DF0F26">
        <w:t xml:space="preserve">differences </w:t>
      </w:r>
      <w:r>
        <w:t>between CPP participants and non-participants.  The control group was selected from customers who were not on CPP rates but were on the otherwise applicable TOU tariff.  It included customers who were defaulted onto CPP and opted out as well as customers enrolled in DR aggregator contracts or on the Baseline Interruptible Program.</w:t>
      </w:r>
      <w:r>
        <w:rPr>
          <w:rStyle w:val="FootnoteReference"/>
        </w:rPr>
        <w:footnoteReference w:id="8"/>
      </w:r>
      <w:r>
        <w:t xml:space="preserve">  </w:t>
      </w:r>
    </w:p>
    <w:p w:rsidR="002B5AC6" w:rsidRDefault="002B5AC6" w:rsidP="002B5AC6">
      <w:pPr>
        <w:pStyle w:val="BodyParagraph"/>
      </w:pPr>
      <w:r>
        <w:t>With propensity score matching, customer characteristics are weighted based on the degree to which they predict program participation and are used to produce a propensity score.  For each CPP customer, the control group candidate with the closest propensity score was selected.</w:t>
      </w:r>
      <w:r>
        <w:rPr>
          <w:rStyle w:val="FootnoteReference"/>
        </w:rPr>
        <w:footnoteReference w:id="9"/>
      </w:r>
      <w:r>
        <w:t xml:space="preserve">  CPP participants are matched within industry groups; that is, matched control customers were required to be in the same industry group as CPP participants.</w:t>
      </w:r>
      <w:r>
        <w:rPr>
          <w:rStyle w:val="FootnoteReference"/>
        </w:rPr>
        <w:footnoteReference w:id="10"/>
      </w:r>
      <w:r>
        <w:t xml:space="preserve">  Weather conditions (cooling degree days from June through September) were also factored into the match, in addition to location, consumption levels during hot non-event days and the share of </w:t>
      </w:r>
      <w:r w:rsidRPr="00C32AE3">
        <w:t>their power consumption</w:t>
      </w:r>
      <w:r>
        <w:t xml:space="preserve"> that occurred during the </w:t>
      </w:r>
      <w:r>
        <w:lastRenderedPageBreak/>
        <w:t xml:space="preserve">peak period.  Some control group customers were selected more than once – that is, if customer A was the best match for both customer B and customer C, they were selected twice.  </w:t>
      </w:r>
    </w:p>
    <w:p w:rsidR="002B5AC6" w:rsidRDefault="002B5AC6" w:rsidP="002B5AC6">
      <w:pPr>
        <w:pStyle w:val="BodyParagraph"/>
      </w:pPr>
      <w:r>
        <w:t>Table 3-1 compares control group and CPP participant characteristics for each utility.  As seen, control group customers are nearly identical to CPP customers across all variables, indicating a well-matched control group.  Control and participant customers are very similar in terms of industry type, location, weather conditions and hourly demand patterns during hot days (prior to any adjustments or modeling).  Any observed differences are negligible and typically are not statistically significant.</w:t>
      </w:r>
      <w:r>
        <w:rPr>
          <w:rStyle w:val="FootnoteReference"/>
        </w:rPr>
        <w:footnoteReference w:id="11"/>
      </w:r>
      <w:r>
        <w:t xml:space="preserve"> </w:t>
      </w:r>
    </w:p>
    <w:p w:rsidR="002B5AC6" w:rsidRDefault="002B5AC6" w:rsidP="002B5AC6">
      <w:pPr>
        <w:pStyle w:val="BodyParagraph"/>
        <w:sectPr w:rsidR="002B5AC6" w:rsidSect="00626371">
          <w:pgSz w:w="12240" w:h="15840"/>
          <w:pgMar w:top="1440" w:right="1440" w:bottom="1440" w:left="1440" w:header="720" w:footer="720" w:gutter="0"/>
          <w:pgNumType w:start="1"/>
          <w:cols w:space="720"/>
          <w:docGrid w:linePitch="360"/>
        </w:sectPr>
      </w:pPr>
    </w:p>
    <w:p w:rsidR="002B5AC6" w:rsidRPr="00227BB9" w:rsidRDefault="002B5AC6" w:rsidP="002B5AC6">
      <w:pPr>
        <w:pStyle w:val="TableFigureCaption"/>
        <w:spacing w:after="0"/>
      </w:pPr>
      <w:r w:rsidRPr="00227BB9">
        <w:lastRenderedPageBreak/>
        <w:t xml:space="preserve">Table </w:t>
      </w:r>
      <w:r>
        <w:t>3</w:t>
      </w:r>
      <w:r w:rsidRPr="00227BB9">
        <w:t>-1: Comparison of Matched CPP and Control Group Customers by Utility</w:t>
      </w:r>
    </w:p>
    <w:tbl>
      <w:tblPr>
        <w:tblW w:w="5000" w:type="pct"/>
        <w:tblLook w:val="04A0" w:firstRow="1" w:lastRow="0" w:firstColumn="1" w:lastColumn="0" w:noHBand="0" w:noVBand="1"/>
      </w:tblPr>
      <w:tblGrid>
        <w:gridCol w:w="1281"/>
        <w:gridCol w:w="2762"/>
        <w:gridCol w:w="943"/>
        <w:gridCol w:w="856"/>
        <w:gridCol w:w="804"/>
        <w:gridCol w:w="1000"/>
        <w:gridCol w:w="963"/>
        <w:gridCol w:w="928"/>
        <w:gridCol w:w="821"/>
        <w:gridCol w:w="824"/>
        <w:gridCol w:w="821"/>
        <w:gridCol w:w="821"/>
        <w:gridCol w:w="821"/>
        <w:gridCol w:w="813"/>
      </w:tblGrid>
      <w:tr w:rsidR="002B5AC6" w:rsidRPr="00EC2167" w:rsidTr="001E3B5B">
        <w:trPr>
          <w:trHeight w:hRule="exact" w:val="202"/>
        </w:trPr>
        <w:tc>
          <w:tcPr>
            <w:tcW w:w="443" w:type="pct"/>
            <w:vMerge w:val="restart"/>
            <w:tcBorders>
              <w:top w:val="single" w:sz="4" w:space="0" w:color="000000"/>
              <w:left w:val="single" w:sz="4" w:space="0" w:color="000000"/>
              <w:bottom w:val="single" w:sz="4" w:space="0" w:color="000000"/>
              <w:right w:val="single" w:sz="4" w:space="0" w:color="FFFFFF"/>
            </w:tcBorders>
            <w:shd w:val="clear" w:color="auto" w:fill="244061" w:themeFill="accent1" w:themeFillShade="80"/>
            <w:noWrap/>
            <w:tcMar>
              <w:left w:w="29" w:type="dxa"/>
              <w:right w:w="29" w:type="dxa"/>
            </w:tcMar>
            <w:vAlign w:val="center"/>
            <w:hideMark/>
          </w:tcPr>
          <w:p w:rsidR="002B5AC6" w:rsidRPr="00EC2167"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Category</w:t>
            </w:r>
          </w:p>
        </w:tc>
        <w:tc>
          <w:tcPr>
            <w:tcW w:w="955" w:type="pct"/>
            <w:vMerge w:val="restart"/>
            <w:tcBorders>
              <w:top w:val="single" w:sz="4" w:space="0" w:color="000000"/>
              <w:left w:val="single" w:sz="4" w:space="0" w:color="FFFFFF"/>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Pr="00EC2167"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Variable</w:t>
            </w:r>
          </w:p>
        </w:tc>
        <w:tc>
          <w:tcPr>
            <w:tcW w:w="1246" w:type="pct"/>
            <w:gridSpan w:val="4"/>
            <w:tcBorders>
              <w:top w:val="single" w:sz="4" w:space="0" w:color="000000"/>
              <w:left w:val="nil"/>
              <w:bottom w:val="single" w:sz="4" w:space="0" w:color="FFFFFF"/>
              <w:right w:val="single" w:sz="4" w:space="0" w:color="FFFFFF"/>
            </w:tcBorders>
            <w:shd w:val="clear" w:color="auto" w:fill="244061" w:themeFill="accent1" w:themeFillShade="80"/>
            <w:noWrap/>
            <w:tcMar>
              <w:left w:w="29" w:type="dxa"/>
              <w:right w:w="29" w:type="dxa"/>
            </w:tcMar>
            <w:vAlign w:val="center"/>
            <w:hideMark/>
          </w:tcPr>
          <w:p w:rsidR="002B5AC6" w:rsidRPr="00EC2167"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PG&amp;E</w:t>
            </w:r>
          </w:p>
        </w:tc>
        <w:tc>
          <w:tcPr>
            <w:tcW w:w="1221" w:type="pct"/>
            <w:gridSpan w:val="4"/>
            <w:tcBorders>
              <w:top w:val="single" w:sz="4" w:space="0" w:color="000000"/>
              <w:left w:val="nil"/>
              <w:bottom w:val="single" w:sz="4" w:space="0" w:color="FFFFFF"/>
              <w:right w:val="single" w:sz="4" w:space="0" w:color="FFFFFF"/>
            </w:tcBorders>
            <w:shd w:val="clear" w:color="auto" w:fill="244061" w:themeFill="accent1" w:themeFillShade="80"/>
            <w:noWrap/>
            <w:tcMar>
              <w:left w:w="29" w:type="dxa"/>
              <w:right w:w="29" w:type="dxa"/>
            </w:tcMar>
            <w:vAlign w:val="center"/>
            <w:hideMark/>
          </w:tcPr>
          <w:p w:rsidR="002B5AC6" w:rsidRPr="00EC2167"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SCE</w:t>
            </w:r>
          </w:p>
        </w:tc>
        <w:tc>
          <w:tcPr>
            <w:tcW w:w="1134" w:type="pct"/>
            <w:gridSpan w:val="4"/>
            <w:tcBorders>
              <w:top w:val="single" w:sz="4" w:space="0" w:color="000000"/>
              <w:left w:val="nil"/>
              <w:bottom w:val="single" w:sz="4" w:space="0" w:color="FFFFFF"/>
              <w:right w:val="single" w:sz="4" w:space="0" w:color="000000"/>
            </w:tcBorders>
            <w:shd w:val="clear" w:color="auto" w:fill="244061" w:themeFill="accent1" w:themeFillShade="80"/>
            <w:noWrap/>
            <w:tcMar>
              <w:left w:w="29" w:type="dxa"/>
              <w:right w:w="29" w:type="dxa"/>
            </w:tcMar>
            <w:vAlign w:val="center"/>
            <w:hideMark/>
          </w:tcPr>
          <w:p w:rsidR="002B5AC6" w:rsidRPr="00EC2167"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SDG&amp;E</w:t>
            </w:r>
          </w:p>
        </w:tc>
      </w:tr>
      <w:tr w:rsidR="002B5AC6" w:rsidRPr="00EC2167" w:rsidTr="001E3B5B">
        <w:trPr>
          <w:trHeight w:hRule="exact" w:val="721"/>
        </w:trPr>
        <w:tc>
          <w:tcPr>
            <w:tcW w:w="443" w:type="pct"/>
            <w:vMerge/>
            <w:tcBorders>
              <w:top w:val="single" w:sz="4" w:space="0" w:color="000000"/>
              <w:left w:val="single" w:sz="4" w:space="0" w:color="000000"/>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Pr="00EC2167" w:rsidRDefault="002B5AC6" w:rsidP="001E3B5B">
            <w:pPr>
              <w:spacing w:after="0" w:line="240" w:lineRule="auto"/>
              <w:rPr>
                <w:rFonts w:ascii="Arial" w:eastAsia="Times New Roman" w:hAnsi="Arial" w:cs="Arial"/>
                <w:b/>
                <w:bCs/>
                <w:color w:val="FFFFFF"/>
                <w:sz w:val="16"/>
                <w:szCs w:val="16"/>
              </w:rPr>
            </w:pPr>
          </w:p>
        </w:tc>
        <w:tc>
          <w:tcPr>
            <w:tcW w:w="955" w:type="pct"/>
            <w:vMerge/>
            <w:tcBorders>
              <w:top w:val="single" w:sz="4" w:space="0" w:color="000000"/>
              <w:left w:val="single" w:sz="4" w:space="0" w:color="FFFFFF"/>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Pr="00EC2167" w:rsidRDefault="002B5AC6" w:rsidP="001E3B5B">
            <w:pPr>
              <w:spacing w:after="0" w:line="240" w:lineRule="auto"/>
              <w:rPr>
                <w:rFonts w:ascii="Arial" w:eastAsia="Times New Roman" w:hAnsi="Arial" w:cs="Arial"/>
                <w:b/>
                <w:bCs/>
                <w:color w:val="FFFFFF"/>
                <w:sz w:val="16"/>
                <w:szCs w:val="16"/>
              </w:rPr>
            </w:pPr>
          </w:p>
        </w:tc>
        <w:tc>
          <w:tcPr>
            <w:tcW w:w="326" w:type="pct"/>
            <w:tcBorders>
              <w:top w:val="nil"/>
              <w:left w:val="nil"/>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CPP</w:t>
            </w:r>
          </w:p>
          <w:p w:rsidR="002B5AC6" w:rsidRPr="00EC2167" w:rsidRDefault="002B5AC6" w:rsidP="001E3B5B">
            <w:pPr>
              <w:spacing w:after="0" w:line="240" w:lineRule="auto"/>
              <w:jc w:val="center"/>
              <w:rPr>
                <w:rFonts w:ascii="Arial" w:eastAsia="Times New Roman" w:hAnsi="Arial" w:cs="Arial"/>
                <w:b/>
                <w:bCs/>
                <w:color w:val="FFFFFF"/>
                <w:sz w:val="16"/>
                <w:szCs w:val="16"/>
              </w:rPr>
            </w:pPr>
            <w:r>
              <w:rPr>
                <w:rFonts w:ascii="Arial" w:eastAsia="Times New Roman" w:hAnsi="Arial" w:cs="Arial"/>
                <w:b/>
                <w:bCs/>
                <w:color w:val="FFFFFF"/>
                <w:sz w:val="16"/>
                <w:szCs w:val="16"/>
              </w:rPr>
              <w:t>(n=1,588)</w:t>
            </w:r>
          </w:p>
        </w:tc>
        <w:tc>
          <w:tcPr>
            <w:tcW w:w="296" w:type="pct"/>
            <w:tcBorders>
              <w:top w:val="nil"/>
              <w:left w:val="nil"/>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Control Group</w:t>
            </w:r>
          </w:p>
          <w:p w:rsidR="002B5AC6" w:rsidRPr="00EC2167" w:rsidRDefault="002B5AC6" w:rsidP="001E3B5B">
            <w:pPr>
              <w:spacing w:after="0" w:line="240" w:lineRule="auto"/>
              <w:jc w:val="center"/>
              <w:rPr>
                <w:rFonts w:ascii="Arial" w:eastAsia="Times New Roman" w:hAnsi="Arial" w:cs="Arial"/>
                <w:b/>
                <w:bCs/>
                <w:color w:val="FFFFFF"/>
                <w:sz w:val="16"/>
                <w:szCs w:val="16"/>
              </w:rPr>
            </w:pPr>
            <w:r>
              <w:rPr>
                <w:rFonts w:ascii="Arial" w:eastAsia="Times New Roman" w:hAnsi="Arial" w:cs="Arial"/>
                <w:b/>
                <w:bCs/>
                <w:color w:val="FFFFFF"/>
                <w:sz w:val="16"/>
                <w:szCs w:val="16"/>
              </w:rPr>
              <w:t>(n=869 )</w:t>
            </w:r>
          </w:p>
        </w:tc>
        <w:tc>
          <w:tcPr>
            <w:tcW w:w="278" w:type="pct"/>
            <w:tcBorders>
              <w:top w:val="nil"/>
              <w:left w:val="nil"/>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Pr="00EC2167"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t</w:t>
            </w:r>
          </w:p>
        </w:tc>
        <w:tc>
          <w:tcPr>
            <w:tcW w:w="345" w:type="pct"/>
            <w:tcBorders>
              <w:top w:val="nil"/>
              <w:left w:val="nil"/>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Pr="00EC2167"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p&gt;t</w:t>
            </w:r>
          </w:p>
        </w:tc>
        <w:tc>
          <w:tcPr>
            <w:tcW w:w="333" w:type="pct"/>
            <w:tcBorders>
              <w:top w:val="nil"/>
              <w:left w:val="nil"/>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CPP</w:t>
            </w:r>
          </w:p>
          <w:p w:rsidR="002B5AC6" w:rsidRPr="00EC2167" w:rsidRDefault="002B5AC6" w:rsidP="001E3B5B">
            <w:pPr>
              <w:spacing w:after="0" w:line="240" w:lineRule="auto"/>
              <w:rPr>
                <w:rFonts w:ascii="Arial" w:eastAsia="Times New Roman" w:hAnsi="Arial" w:cs="Arial"/>
                <w:b/>
                <w:bCs/>
                <w:color w:val="FFFFFF"/>
                <w:sz w:val="16"/>
                <w:szCs w:val="16"/>
              </w:rPr>
            </w:pPr>
            <w:r>
              <w:rPr>
                <w:rFonts w:ascii="Arial" w:eastAsia="Times New Roman" w:hAnsi="Arial" w:cs="Arial"/>
                <w:b/>
                <w:bCs/>
                <w:color w:val="FFFFFF"/>
                <w:sz w:val="16"/>
                <w:szCs w:val="16"/>
              </w:rPr>
              <w:t>(n= 2,279)</w:t>
            </w:r>
          </w:p>
        </w:tc>
        <w:tc>
          <w:tcPr>
            <w:tcW w:w="321" w:type="pct"/>
            <w:tcBorders>
              <w:top w:val="nil"/>
              <w:left w:val="nil"/>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Control Group</w:t>
            </w:r>
          </w:p>
          <w:p w:rsidR="002B5AC6" w:rsidRPr="00EC2167" w:rsidRDefault="002B5AC6" w:rsidP="001E3B5B">
            <w:pPr>
              <w:spacing w:after="0" w:line="240" w:lineRule="auto"/>
              <w:jc w:val="center"/>
              <w:rPr>
                <w:rFonts w:ascii="Arial" w:eastAsia="Times New Roman" w:hAnsi="Arial" w:cs="Arial"/>
                <w:b/>
                <w:bCs/>
                <w:color w:val="FFFFFF"/>
                <w:sz w:val="16"/>
                <w:szCs w:val="16"/>
              </w:rPr>
            </w:pPr>
            <w:r>
              <w:rPr>
                <w:rFonts w:ascii="Arial" w:eastAsia="Times New Roman" w:hAnsi="Arial" w:cs="Arial"/>
                <w:b/>
                <w:bCs/>
                <w:color w:val="FFFFFF"/>
                <w:sz w:val="16"/>
                <w:szCs w:val="16"/>
              </w:rPr>
              <w:t>(n=1,458)</w:t>
            </w:r>
          </w:p>
        </w:tc>
        <w:tc>
          <w:tcPr>
            <w:tcW w:w="284" w:type="pct"/>
            <w:tcBorders>
              <w:top w:val="nil"/>
              <w:left w:val="nil"/>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Pr="00EC2167"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t</w:t>
            </w:r>
          </w:p>
        </w:tc>
        <w:tc>
          <w:tcPr>
            <w:tcW w:w="285" w:type="pct"/>
            <w:tcBorders>
              <w:top w:val="nil"/>
              <w:left w:val="nil"/>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Pr="00EC2167"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p&gt;t</w:t>
            </w:r>
          </w:p>
        </w:tc>
        <w:tc>
          <w:tcPr>
            <w:tcW w:w="284" w:type="pct"/>
            <w:tcBorders>
              <w:top w:val="nil"/>
              <w:left w:val="nil"/>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CPP</w:t>
            </w:r>
          </w:p>
          <w:p w:rsidR="002B5AC6" w:rsidRPr="00EC2167" w:rsidRDefault="002B5AC6" w:rsidP="001E3B5B">
            <w:pPr>
              <w:spacing w:after="0" w:line="240" w:lineRule="auto"/>
              <w:jc w:val="center"/>
              <w:rPr>
                <w:rFonts w:ascii="Arial" w:eastAsia="Times New Roman" w:hAnsi="Arial" w:cs="Arial"/>
                <w:b/>
                <w:bCs/>
                <w:color w:val="FFFFFF"/>
                <w:sz w:val="16"/>
                <w:szCs w:val="16"/>
              </w:rPr>
            </w:pPr>
            <w:r>
              <w:rPr>
                <w:rFonts w:ascii="Arial" w:eastAsia="Times New Roman" w:hAnsi="Arial" w:cs="Arial"/>
                <w:b/>
                <w:bCs/>
                <w:color w:val="FFFFFF"/>
                <w:sz w:val="16"/>
                <w:szCs w:val="16"/>
              </w:rPr>
              <w:t>(n=1,039)</w:t>
            </w:r>
          </w:p>
        </w:tc>
        <w:tc>
          <w:tcPr>
            <w:tcW w:w="284" w:type="pct"/>
            <w:tcBorders>
              <w:top w:val="nil"/>
              <w:left w:val="nil"/>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Control Group</w:t>
            </w:r>
          </w:p>
          <w:p w:rsidR="002B5AC6" w:rsidRPr="00EC2167" w:rsidRDefault="002B5AC6" w:rsidP="001E3B5B">
            <w:pPr>
              <w:spacing w:after="0" w:line="240" w:lineRule="auto"/>
              <w:jc w:val="center"/>
              <w:rPr>
                <w:rFonts w:ascii="Arial" w:eastAsia="Times New Roman" w:hAnsi="Arial" w:cs="Arial"/>
                <w:b/>
                <w:bCs/>
                <w:color w:val="FFFFFF"/>
                <w:sz w:val="16"/>
                <w:szCs w:val="16"/>
              </w:rPr>
            </w:pPr>
            <w:r>
              <w:rPr>
                <w:rFonts w:ascii="Arial" w:eastAsia="Times New Roman" w:hAnsi="Arial" w:cs="Arial"/>
                <w:b/>
                <w:bCs/>
                <w:color w:val="FFFFFF"/>
                <w:sz w:val="16"/>
                <w:szCs w:val="16"/>
              </w:rPr>
              <w:t>(n=446 )</w:t>
            </w:r>
          </w:p>
        </w:tc>
        <w:tc>
          <w:tcPr>
            <w:tcW w:w="284" w:type="pct"/>
            <w:tcBorders>
              <w:top w:val="nil"/>
              <w:left w:val="nil"/>
              <w:bottom w:val="single" w:sz="4" w:space="0" w:color="000000"/>
              <w:right w:val="single" w:sz="4" w:space="0" w:color="FFFFFF"/>
            </w:tcBorders>
            <w:shd w:val="clear" w:color="auto" w:fill="244061" w:themeFill="accent1" w:themeFillShade="80"/>
            <w:tcMar>
              <w:left w:w="29" w:type="dxa"/>
              <w:right w:w="29" w:type="dxa"/>
            </w:tcMar>
            <w:vAlign w:val="center"/>
            <w:hideMark/>
          </w:tcPr>
          <w:p w:rsidR="002B5AC6" w:rsidRPr="00EC2167"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t</w:t>
            </w:r>
          </w:p>
        </w:tc>
        <w:tc>
          <w:tcPr>
            <w:tcW w:w="284" w:type="pct"/>
            <w:tcBorders>
              <w:top w:val="nil"/>
              <w:left w:val="nil"/>
              <w:bottom w:val="single" w:sz="4" w:space="0" w:color="000000"/>
              <w:right w:val="single" w:sz="4" w:space="0" w:color="000000"/>
            </w:tcBorders>
            <w:shd w:val="clear" w:color="auto" w:fill="244061" w:themeFill="accent1" w:themeFillShade="80"/>
            <w:tcMar>
              <w:left w:w="29" w:type="dxa"/>
              <w:right w:w="29" w:type="dxa"/>
            </w:tcMar>
            <w:vAlign w:val="center"/>
            <w:hideMark/>
          </w:tcPr>
          <w:p w:rsidR="002B5AC6" w:rsidRPr="00EC2167" w:rsidRDefault="002B5AC6" w:rsidP="001E3B5B">
            <w:pPr>
              <w:spacing w:after="0" w:line="240" w:lineRule="auto"/>
              <w:jc w:val="center"/>
              <w:rPr>
                <w:rFonts w:ascii="Arial" w:eastAsia="Times New Roman" w:hAnsi="Arial" w:cs="Arial"/>
                <w:b/>
                <w:bCs/>
                <w:color w:val="FFFFFF"/>
                <w:sz w:val="16"/>
                <w:szCs w:val="16"/>
              </w:rPr>
            </w:pPr>
            <w:r w:rsidRPr="00EC2167">
              <w:rPr>
                <w:rFonts w:ascii="Arial" w:eastAsia="Times New Roman" w:hAnsi="Arial" w:cs="Arial"/>
                <w:b/>
                <w:bCs/>
                <w:color w:val="FFFFFF"/>
                <w:sz w:val="16"/>
                <w:szCs w:val="16"/>
              </w:rPr>
              <w:t>p&gt;t</w:t>
            </w:r>
          </w:p>
        </w:tc>
      </w:tr>
      <w:tr w:rsidR="002B5AC6" w:rsidRPr="00CD73DD" w:rsidTr="001E3B5B">
        <w:trPr>
          <w:trHeight w:hRule="exact" w:val="202"/>
        </w:trPr>
        <w:tc>
          <w:tcPr>
            <w:tcW w:w="443" w:type="pct"/>
            <w:vMerge w:val="restart"/>
            <w:tcBorders>
              <w:top w:val="nil"/>
              <w:left w:val="single" w:sz="4" w:space="0" w:color="auto"/>
              <w:bottom w:val="single" w:sz="4" w:space="0" w:color="auto"/>
              <w:right w:val="single" w:sz="4" w:space="0" w:color="auto"/>
            </w:tcBorders>
            <w:shd w:val="clear" w:color="auto" w:fill="auto"/>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Location and Weather</w:t>
            </w:r>
            <w:r w:rsidRPr="00874CA9">
              <w:rPr>
                <w:rStyle w:val="FootnoteReference"/>
                <w:rFonts w:ascii="Arial" w:eastAsia="Times New Roman" w:hAnsi="Arial" w:cs="Arial"/>
                <w:color w:val="000000"/>
                <w:sz w:val="16"/>
                <w:szCs w:val="16"/>
              </w:rPr>
              <w:footnoteReference w:id="12"/>
            </w: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Total CDD June-Sept</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1,202.3</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1,183.2</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-0.32</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0.75</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1,589.3</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1,601.5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-0.70</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151.8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152.5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0.34</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Region 1</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20.7%</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20.7%</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-0.34</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0.73</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14.8%</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15.5%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-0.61</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0.54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8.4%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9.3%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0.45</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Region 2</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22.4%</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18.5%</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-0.36</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0.72</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27.8%</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29.7%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-1.46</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32.3%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32.2%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0.98</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Region 3</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21.1%</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19.1%</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-0.70</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0.48</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23.3%</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20.7%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2.09</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53.2%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53.8%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0.79</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Region 4</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35.8%</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41.8%</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1.22</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0.22</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25.0%</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21.7%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2.68</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6.1%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4.6%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1.47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0.14</w:t>
            </w:r>
          </w:p>
        </w:tc>
      </w:tr>
      <w:tr w:rsidR="002B5AC6" w:rsidRPr="00CD73DD" w:rsidTr="001E3B5B">
        <w:trPr>
          <w:trHeight w:hRule="exact" w:val="202"/>
        </w:trPr>
        <w:tc>
          <w:tcPr>
            <w:tcW w:w="443" w:type="pct"/>
            <w:vMerge w:val="restart"/>
            <w:tcBorders>
              <w:top w:val="nil"/>
              <w:left w:val="single" w:sz="4" w:space="0" w:color="auto"/>
              <w:bottom w:val="single" w:sz="4" w:space="0" w:color="auto"/>
              <w:right w:val="single" w:sz="4" w:space="0" w:color="auto"/>
            </w:tcBorders>
            <w:shd w:val="clear" w:color="auto" w:fill="auto"/>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Industry Mix</w:t>
            </w: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Ag, Mining  &amp; Construction</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7.7%</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9.4%</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3.2%</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3.1%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0.34</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Manufacturing</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16.7%</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16.7%</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28.3%</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28.3%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13.5%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13.5%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Wholesale &amp; Transport</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14.7%</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15.1%</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0.97</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0.33</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16.1%</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15.8%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0.28</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14.2%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14.2%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Retail Stores</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4.1%</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4.1%</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6.1%</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6.1%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9.6%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9.6%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Offices, Hotels, Finance, Services</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28.3%</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27.1%</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0.18</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0.86</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21.1%</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20.9%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0.14</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31.4%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31.4%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Schools</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16.1%</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16.1%</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15.8%</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15.8%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20.2%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20.2%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Institutional/Government</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8.3%</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9.7%</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-0.86</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0.39</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9.3%</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-0.75</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11.1%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11.1%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Other or Unknown</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4.1%</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1.9%</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-1.15</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0.25</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0.00</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 –</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w:t>
            </w:r>
          </w:p>
        </w:tc>
      </w:tr>
      <w:tr w:rsidR="002B5AC6" w:rsidRPr="00CD73DD" w:rsidTr="001E3B5B">
        <w:trPr>
          <w:trHeight w:hRule="exact" w:val="202"/>
        </w:trPr>
        <w:tc>
          <w:tcPr>
            <w:tcW w:w="443" w:type="pct"/>
            <w:vMerge w:val="restart"/>
            <w:tcBorders>
              <w:top w:val="nil"/>
              <w:left w:val="single" w:sz="4" w:space="0" w:color="auto"/>
              <w:bottom w:val="single" w:sz="4" w:space="0" w:color="auto"/>
              <w:right w:val="single" w:sz="4" w:space="0" w:color="auto"/>
            </w:tcBorders>
            <w:shd w:val="clear" w:color="auto" w:fill="auto"/>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Consumption Patterns on Event-Like Days</w:t>
            </w: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Peak kWh on hot days (2 PM - 6 PM)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1,402.9</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1,400.9</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0.34</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0.73</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1,136.0</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1,147.2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-0.31</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1,826.1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1,852.9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0.80</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Total Daily KWh on Hot Days</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5,672.9</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5,686.3</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0.33</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0.75</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4,611.3</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4,633.4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-0.13</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5,275.4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5,246.2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0.93</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 of Consumption During Peak Hours</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25.4%</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25.4%</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-0.14</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0.89</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25.6%</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25.8%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-1.09</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36.3%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36.3%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0.97</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1:00 AM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182.6</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184.6</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0.23</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0.82</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141.4</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139.7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0.23</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176.9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167.7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0.45</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2:00 AM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177.8</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179.8</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0.11</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0.91</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137.0</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135.8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0.17</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172.4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163.8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0.48</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3:00 AM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174.7</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176.4</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-0.03</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0.98</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133.3</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132.6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0.10</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169.1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160.8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0.69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0.49</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4:00 AM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175.7</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177.2</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0.10</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0.92</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131.9</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134.9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-0.43</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0.67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168.8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161.1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0.65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0.52</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5:00 AM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182.7</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182.8</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0.42</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0.68</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140.9</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143.8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-0.41</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0.68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173.3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166.9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0.54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0.59</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6:00 AM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200.1</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197.1</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0.59</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0.56</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163.9</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163.4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0.07</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186.1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180.8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0.66</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7:00 AM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221.6</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221.1</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0.59</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0.55</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190.0</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191.3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-0.18</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202.0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201.7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0.99</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8:00 AM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244.3</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244.6</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0.20</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0.85</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211.0</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212.6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-0.22</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222.2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224.9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0.84</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9:00 AM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261.8</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262.6</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0.33</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0.74</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226.0</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227.7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-0.23</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240.7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242.9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0.88</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10:00 AM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275.9</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276.3</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0.38</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0.71</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236.2</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238.6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-0.32</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254.9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257.6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0.85</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11:00 AM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287.1</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287.0</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0.44</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0.66</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245.6</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247.2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-0.20</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265.6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268.4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0.85</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12:00 PM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293.2</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292.3</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0.48</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0.63</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248.3</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251.3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-0.39</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269.8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273.1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0.83</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1:00 PM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292.8</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290.0</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0.61</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0.54</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246.4</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250.7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-0.56</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0.57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271.1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275.2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0.79</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2:00 PM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296.8</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295.8</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0.41</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0.68</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248.7</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252.2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-0.45</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0.65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270.7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274.9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0.78</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3:00 PM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294.1</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293.1</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0.31</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0.76</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243.1</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245.6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-0.33</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267.7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271.1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0.82</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4:00 PM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284.9</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284.9</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0.34</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0.73</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230.3</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231.5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-0.15</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260.0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264.0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0.79</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5:00 PM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272.5</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271.3</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0.35</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0.73</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214.5</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216.2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-0.24</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250.5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253.4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0.85</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6:00 PM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254.5</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255.9</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0.30</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0.77</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199.4</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201.7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-0.32</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236.4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241.2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0.74</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7:00 PM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235.9</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237.3</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0.21</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0.83</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186.7</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186.1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0.08</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220.9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218.6</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0.87</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8:00 PM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225.2</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228.7</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0.20</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0.84</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183.7</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181.5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0.30</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214.4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210.7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0.79</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9:00 PM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219.9</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222.7</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0.34</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0.74</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179.1</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177.3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0.23</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208.4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205.8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0.20</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0.84</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10:00 PM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213.4</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216.5</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0.13</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0.90</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168.8</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168.2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0.09</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197.8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195.9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0.14</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0.89</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11:00 PM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206.6</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208.5</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0.24</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0.81</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156.5</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156.1</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0.07</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0.95</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191.3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187.8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0.79</w:t>
            </w:r>
          </w:p>
        </w:tc>
      </w:tr>
      <w:tr w:rsidR="002B5AC6" w:rsidRPr="00CD73DD" w:rsidTr="001E3B5B">
        <w:trPr>
          <w:trHeight w:hRule="exact" w:val="202"/>
        </w:trPr>
        <w:tc>
          <w:tcPr>
            <w:tcW w:w="443"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p>
        </w:tc>
        <w:tc>
          <w:tcPr>
            <w:tcW w:w="95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rPr>
                <w:rFonts w:ascii="Arial" w:eastAsia="Times New Roman" w:hAnsi="Arial" w:cs="Arial"/>
                <w:color w:val="000000"/>
                <w:sz w:val="16"/>
                <w:szCs w:val="16"/>
              </w:rPr>
            </w:pPr>
            <w:r w:rsidRPr="00874CA9">
              <w:rPr>
                <w:rFonts w:ascii="Arial" w:eastAsia="Times New Roman" w:hAnsi="Arial" w:cs="Arial"/>
                <w:color w:val="000000"/>
                <w:sz w:val="16"/>
                <w:szCs w:val="16"/>
              </w:rPr>
              <w:t>Hour ending 12:00 AM</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198.5</w:t>
            </w:r>
          </w:p>
        </w:tc>
        <w:tc>
          <w:tcPr>
            <w:tcW w:w="296" w:type="pct"/>
            <w:tcBorders>
              <w:top w:val="nil"/>
              <w:left w:val="nil"/>
              <w:bottom w:val="single" w:sz="4" w:space="0" w:color="auto"/>
              <w:right w:val="single" w:sz="4" w:space="0" w:color="auto"/>
            </w:tcBorders>
            <w:shd w:val="clear" w:color="auto" w:fill="auto"/>
            <w:noWrap/>
            <w:tcMar>
              <w:left w:w="29" w:type="dxa"/>
              <w:right w:w="29" w:type="dxa"/>
            </w:tcMar>
            <w:vAlign w:val="bottom"/>
            <w:hideMark/>
          </w:tcPr>
          <w:p w:rsidR="002B5AC6" w:rsidRPr="00874CA9" w:rsidRDefault="002B5AC6" w:rsidP="001E3B5B">
            <w:pPr>
              <w:jc w:val="center"/>
              <w:rPr>
                <w:rFonts w:ascii="Arial" w:hAnsi="Arial" w:cs="Arial"/>
                <w:color w:val="000000"/>
                <w:sz w:val="16"/>
                <w:szCs w:val="16"/>
              </w:rPr>
            </w:pPr>
            <w:r w:rsidRPr="00874CA9">
              <w:rPr>
                <w:rFonts w:ascii="Arial" w:hAnsi="Arial" w:cs="Arial"/>
                <w:color w:val="000000"/>
                <w:sz w:val="16"/>
                <w:szCs w:val="16"/>
              </w:rPr>
              <w:t>199.9</w:t>
            </w:r>
          </w:p>
        </w:tc>
        <w:tc>
          <w:tcPr>
            <w:tcW w:w="27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0.20</w:t>
            </w:r>
          </w:p>
        </w:tc>
        <w:tc>
          <w:tcPr>
            <w:tcW w:w="3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0.84</w:t>
            </w:r>
          </w:p>
        </w:tc>
        <w:tc>
          <w:tcPr>
            <w:tcW w:w="33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148.7</w:t>
            </w:r>
          </w:p>
        </w:tc>
        <w:tc>
          <w:tcPr>
            <w:tcW w:w="32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147.7</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0.14</w:t>
            </w:r>
          </w:p>
        </w:tc>
        <w:tc>
          <w:tcPr>
            <w:tcW w:w="28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0.89</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184.3</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178.2</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0.48</w:t>
            </w:r>
          </w:p>
        </w:tc>
        <w:tc>
          <w:tcPr>
            <w:tcW w:w="284"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2B5AC6" w:rsidRPr="00874CA9" w:rsidRDefault="002B5AC6" w:rsidP="001E3B5B">
            <w:pPr>
              <w:spacing w:after="0" w:line="240" w:lineRule="auto"/>
              <w:jc w:val="center"/>
              <w:rPr>
                <w:rFonts w:ascii="Arial" w:eastAsia="Times New Roman" w:hAnsi="Arial" w:cs="Arial"/>
                <w:color w:val="000000"/>
                <w:sz w:val="16"/>
                <w:szCs w:val="16"/>
              </w:rPr>
            </w:pPr>
            <w:r w:rsidRPr="00874CA9">
              <w:rPr>
                <w:rFonts w:ascii="Arial" w:eastAsia="Times New Roman" w:hAnsi="Arial" w:cs="Arial"/>
                <w:color w:val="000000"/>
                <w:sz w:val="16"/>
                <w:szCs w:val="16"/>
              </w:rPr>
              <w:t>0.63</w:t>
            </w:r>
          </w:p>
        </w:tc>
      </w:tr>
    </w:tbl>
    <w:p w:rsidR="002B5AC6" w:rsidRDefault="002B5AC6" w:rsidP="002B5AC6">
      <w:pPr>
        <w:pStyle w:val="BodyParagraph"/>
        <w:sectPr w:rsidR="002B5AC6" w:rsidSect="00C82C6B">
          <w:headerReference w:type="default" r:id="rId22"/>
          <w:pgSz w:w="15840" w:h="12240" w:orient="landscape"/>
          <w:pgMar w:top="720" w:right="720" w:bottom="720" w:left="720" w:header="720" w:footer="720" w:gutter="0"/>
          <w:cols w:space="720"/>
          <w:docGrid w:linePitch="360"/>
        </w:sectPr>
      </w:pPr>
    </w:p>
    <w:p w:rsidR="002B5AC6" w:rsidRDefault="002B5AC6" w:rsidP="001C4623">
      <w:pPr>
        <w:pStyle w:val="Heading3"/>
      </w:pPr>
      <w:bookmarkStart w:id="56" w:name="_Toc347226684"/>
      <w:bookmarkStart w:id="57" w:name="_Toc351364810"/>
      <w:bookmarkStart w:id="58" w:name="_Toc351455152"/>
      <w:bookmarkStart w:id="59" w:name="_Toc352323627"/>
      <w:r w:rsidRPr="00056D0A">
        <w:lastRenderedPageBreak/>
        <w:t>Regression</w:t>
      </w:r>
      <w:r>
        <w:t xml:space="preserve"> Models and Estimating Sample</w:t>
      </w:r>
      <w:bookmarkEnd w:id="56"/>
      <w:bookmarkEnd w:id="57"/>
      <w:bookmarkEnd w:id="58"/>
      <w:bookmarkEnd w:id="59"/>
    </w:p>
    <w:p w:rsidR="002B5AC6" w:rsidRDefault="002B5AC6" w:rsidP="002B5AC6">
      <w:pPr>
        <w:pStyle w:val="BodyParagraph"/>
      </w:pPr>
      <w:r>
        <w:t xml:space="preserve">2012 ex post CPP load impacts were estimated </w:t>
      </w:r>
      <w:r w:rsidRPr="00271C2F">
        <w:t>using difference-in-differences</w:t>
      </w:r>
      <w:r>
        <w:t xml:space="preserve">.  Figure 3-1 illustrates the process conceptually.  The left side of the figure shows hourly loads for CPP participants and control </w:t>
      </w:r>
      <w:r w:rsidRPr="004F0234">
        <w:t>customers</w:t>
      </w:r>
      <w:r>
        <w:t xml:space="preserve"> during proxy CPP days that have similar exogenous conditions, such as weather, as those that occur on event days.  The loads on proxy days closely mirror each other for the two customer groups, indicating that the control group load allows us to estimate</w:t>
      </w:r>
      <w:r w:rsidRPr="00B15D4F">
        <w:t xml:space="preserve"> CPP participant</w:t>
      </w:r>
      <w:r>
        <w:t>'</w:t>
      </w:r>
      <w:r w:rsidRPr="00B15D4F">
        <w:t xml:space="preserve">s </w:t>
      </w:r>
      <w:r>
        <w:t>hourly electricity consumption patterns</w:t>
      </w:r>
      <w:r w:rsidRPr="00B15D4F">
        <w:t xml:space="preserve"> in </w:t>
      </w:r>
      <w:r>
        <w:t xml:space="preserve">the </w:t>
      </w:r>
      <w:r w:rsidRPr="00B15D4F">
        <w:t>absence of CPP event day prices</w:t>
      </w:r>
      <w:r>
        <w:t>.</w:t>
      </w:r>
    </w:p>
    <w:p w:rsidR="002B5AC6" w:rsidRDefault="002B5AC6" w:rsidP="002B5AC6">
      <w:pPr>
        <w:pStyle w:val="BodyParagraph"/>
      </w:pPr>
      <w:r>
        <w:t xml:space="preserve">The right side of Figure 3-1 shows the hourly loads for CPP participants and the control group on event days.  As expected, the loads for the two groups diverge during event hours.  Since the only known difference between the two groups is the fact that CPP customers face higher prices and control customers do not, the difference in observed loads can be attributed to the higher CPP prices on event days.   </w:t>
      </w:r>
    </w:p>
    <w:p w:rsidR="002B5AC6" w:rsidRDefault="002B5AC6" w:rsidP="002B5AC6">
      <w:pPr>
        <w:pStyle w:val="TableFigureCaption"/>
      </w:pPr>
      <w:r>
        <w:t>Figure 3-1: Example of Difference-in-</w:t>
      </w:r>
      <w:r w:rsidR="00502446">
        <w:t>d</w:t>
      </w:r>
      <w:r>
        <w:t>ifferences Calculation (SCE)</w:t>
      </w:r>
    </w:p>
    <w:p w:rsidR="002B5AC6" w:rsidRDefault="002B5AC6" w:rsidP="002B5AC6">
      <w:pPr>
        <w:pStyle w:val="BodyParagraph"/>
        <w:jc w:val="center"/>
      </w:pPr>
      <w:r>
        <w:rPr>
          <w:noProof/>
        </w:rPr>
        <w:drawing>
          <wp:inline distT="0" distB="0" distL="0" distR="0" wp14:anchorId="59760998" wp14:editId="205AF439">
            <wp:extent cx="6279145" cy="3421380"/>
            <wp:effectExtent l="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6286074" cy="3425155"/>
                    </a:xfrm>
                    <a:prstGeom prst="rect">
                      <a:avLst/>
                    </a:prstGeom>
                    <a:noFill/>
                    <a:ln w="9525">
                      <a:noFill/>
                      <a:miter lim="800000"/>
                      <a:headEnd/>
                      <a:tailEnd/>
                    </a:ln>
                  </pic:spPr>
                </pic:pic>
              </a:graphicData>
            </a:graphic>
          </wp:inline>
        </w:drawing>
      </w:r>
    </w:p>
    <w:p w:rsidR="002B5AC6" w:rsidRDefault="002B5AC6" w:rsidP="002B5AC6">
      <w:pPr>
        <w:pStyle w:val="BodyParaAfterTableFigure"/>
      </w:pPr>
      <w:r>
        <w:t xml:space="preserve">The difference-in-differences calculation refines the impact estimates by netting out the small differences between the two groups observed during proxy event days (when CPP prices were not in effect for either group).  This is illustrated on the right side of Figure 3-1.  Overall, the adjustment is small, primarily because CPP participant and control group electricity use patterns are nearly identical during non-event days.  However, such differences can be larger for specific customer segments.  </w:t>
      </w:r>
    </w:p>
    <w:p w:rsidR="002B5AC6" w:rsidRDefault="002B5AC6" w:rsidP="002B5AC6">
      <w:pPr>
        <w:pStyle w:val="BodyParagraph"/>
      </w:pPr>
      <w:r>
        <w:t xml:space="preserve">Figure 3-2 illustrates an example for a specific industry, manufacturing, where the adjustment plays a larger role.  During proxy event days, the CPP and control group loads closely mirror each other, but there is a noticeable scale difference across all hours.  Differences are more common for specific </w:t>
      </w:r>
      <w:r>
        <w:lastRenderedPageBreak/>
        <w:t>segments because sample sizes are smaller and because loads are often concentrated among a few large customers.  The right side of Figure 3-2 illustrates the influence the difference-in-differences adjustment has on estimated impacts.  While control groups simplify analysis and make it more transparent, they do not work as well when results are disaggregated too much.</w:t>
      </w:r>
      <w:r>
        <w:rPr>
          <w:rStyle w:val="FootnoteReference"/>
        </w:rPr>
        <w:footnoteReference w:id="13"/>
      </w:r>
      <w:r>
        <w:t xml:space="preserve">  As a result, validation tests are important. </w:t>
      </w:r>
    </w:p>
    <w:p w:rsidR="002B5AC6" w:rsidRDefault="002B5AC6" w:rsidP="002B5AC6">
      <w:pPr>
        <w:pStyle w:val="TableFigureCaption"/>
        <w:spacing w:after="0"/>
      </w:pPr>
      <w:r>
        <w:t>Figure 3-2: Example of Difference-in-</w:t>
      </w:r>
      <w:r w:rsidR="00502446">
        <w:t>d</w:t>
      </w:r>
      <w:r>
        <w:t>ifferences Calculation for Segment</w:t>
      </w:r>
      <w:r>
        <w:br/>
        <w:t>(SCE Manufacturing Customers)</w:t>
      </w:r>
    </w:p>
    <w:p w:rsidR="002B5AC6" w:rsidRDefault="002B5AC6" w:rsidP="002B5AC6">
      <w:pPr>
        <w:pStyle w:val="BodyParagraph"/>
      </w:pPr>
      <w:r>
        <w:rPr>
          <w:noProof/>
        </w:rPr>
        <w:drawing>
          <wp:inline distT="0" distB="0" distL="0" distR="0" wp14:anchorId="5C57E6AD" wp14:editId="33396EFD">
            <wp:extent cx="5943600" cy="3238548"/>
            <wp:effectExtent l="0" t="0" r="0" b="0"/>
            <wp:docPr id="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srcRect/>
                    <a:stretch>
                      <a:fillRect/>
                    </a:stretch>
                  </pic:blipFill>
                  <pic:spPr bwMode="auto">
                    <a:xfrm>
                      <a:off x="0" y="0"/>
                      <a:ext cx="5943600" cy="3238548"/>
                    </a:xfrm>
                    <a:prstGeom prst="rect">
                      <a:avLst/>
                    </a:prstGeom>
                    <a:noFill/>
                    <a:ln w="9525">
                      <a:noFill/>
                      <a:miter lim="800000"/>
                      <a:headEnd/>
                      <a:tailEnd/>
                    </a:ln>
                  </pic:spPr>
                </pic:pic>
              </a:graphicData>
            </a:graphic>
          </wp:inline>
        </w:drawing>
      </w:r>
    </w:p>
    <w:p w:rsidR="002B5AC6" w:rsidRDefault="002B5AC6" w:rsidP="002B5AC6">
      <w:pPr>
        <w:pStyle w:val="BodyParaAfterTableFigure"/>
      </w:pPr>
      <w:r>
        <w:t>While load impact estimates using difference-in-differences calculations can be done arithmetically, that is, by simply subtracting the difference in observed loads between the two groups on proxy days from the difference on event days, the analysis can also be done using regressions.  The</w:t>
      </w:r>
      <w:r w:rsidRPr="000D5481">
        <w:t xml:space="preserve"> regressions are simply used to produce correct standard errors</w:t>
      </w:r>
      <w:r>
        <w:t xml:space="preserve">.  Importantly, </w:t>
      </w:r>
      <w:r w:rsidRPr="000D5481">
        <w:t>the simple diff</w:t>
      </w:r>
      <w:r>
        <w:t>erence-in-</w:t>
      </w:r>
      <w:r w:rsidRPr="000D5481">
        <w:t>diff</w:t>
      </w:r>
      <w:r>
        <w:t>erences regression</w:t>
      </w:r>
      <w:r w:rsidRPr="000D5481">
        <w:t xml:space="preserve"> produces exactly the same results as a hand calculation</w:t>
      </w:r>
      <w:r>
        <w:t xml:space="preserve">.  </w:t>
      </w:r>
      <w:r w:rsidRPr="009C4B38">
        <w:t>Thi</w:t>
      </w:r>
      <w:r>
        <w:t>s approach makes full use of non-event and event day data available for CPP and control group customers.  I</w:t>
      </w:r>
      <w:r w:rsidRPr="009C4B38">
        <w:t xml:space="preserve">t takes into account whether peak </w:t>
      </w:r>
      <w:r>
        <w:t xml:space="preserve">load </w:t>
      </w:r>
      <w:r w:rsidRPr="009C4B38">
        <w:t xml:space="preserve">patterns changed for </w:t>
      </w:r>
      <w:r>
        <w:t>CPP customers and whether load</w:t>
      </w:r>
      <w:r w:rsidRPr="009C4B38">
        <w:t xml:space="preserve"> patterns changed for customers who did not experience </w:t>
      </w:r>
      <w:r>
        <w:t>CPP prices.</w:t>
      </w:r>
      <w:r w:rsidRPr="009C4B38">
        <w:t xml:space="preserve">  It also accounts for differences between </w:t>
      </w:r>
      <w:r>
        <w:t xml:space="preserve">CPP participants and </w:t>
      </w:r>
      <w:r w:rsidRPr="009C4B38">
        <w:t xml:space="preserve">the control group observed </w:t>
      </w:r>
      <w:r>
        <w:t xml:space="preserve">during non-event days. </w:t>
      </w:r>
      <w:r w:rsidRPr="009C4B38">
        <w:t xml:space="preserve">  </w:t>
      </w:r>
      <w:r>
        <w:t xml:space="preserve"> </w:t>
      </w:r>
    </w:p>
    <w:p w:rsidR="002B5AC6" w:rsidRDefault="002B5AC6" w:rsidP="002B5AC6">
      <w:pPr>
        <w:pStyle w:val="BodyParagraph"/>
      </w:pPr>
      <w:r>
        <w:t>The regression analysis employed a simple model that relies on no explanatory variables other than customer fixed effects and time effects.</w:t>
      </w:r>
      <w:r>
        <w:rPr>
          <w:rStyle w:val="FootnoteReference"/>
        </w:rPr>
        <w:footnoteReference w:id="14"/>
      </w:r>
      <w:r>
        <w:t xml:space="preserve">  This model does not rely on modeling the relationship between customers’ electricity usage and other factors such as weather; it is informed by control group customers that experience the event day weather but do not experience the CPP event day </w:t>
      </w:r>
      <w:r>
        <w:lastRenderedPageBreak/>
        <w:t>prices.</w:t>
      </w:r>
      <w:r>
        <w:rPr>
          <w:rStyle w:val="FootnoteReference"/>
        </w:rPr>
        <w:footnoteReference w:id="15"/>
      </w:r>
      <w:r>
        <w:t xml:space="preserve">  Appendix A describes the mathematical representation of the model.  It also includes the hourly regression coefficients, standard errors and R-square values for the average event day regressions for each of the utilities.</w:t>
      </w:r>
    </w:p>
    <w:p w:rsidR="002B5AC6" w:rsidRDefault="002B5AC6" w:rsidP="0086489C">
      <w:pPr>
        <w:pStyle w:val="Heading3"/>
      </w:pPr>
      <w:bookmarkStart w:id="60" w:name="_Toc347226685"/>
      <w:bookmarkStart w:id="61" w:name="_Toc351364811"/>
      <w:bookmarkStart w:id="62" w:name="_Toc351455153"/>
      <w:bookmarkStart w:id="63" w:name="_Toc352323628"/>
      <w:r w:rsidRPr="001C4623">
        <w:t>Validation</w:t>
      </w:r>
      <w:r>
        <w:t xml:space="preserve"> and Accuracy of Models</w:t>
      </w:r>
      <w:bookmarkEnd w:id="60"/>
      <w:bookmarkEnd w:id="61"/>
      <w:bookmarkEnd w:id="62"/>
      <w:bookmarkEnd w:id="63"/>
    </w:p>
    <w:p w:rsidR="002B5AC6" w:rsidRDefault="002B5AC6" w:rsidP="002B5AC6">
      <w:pPr>
        <w:pStyle w:val="BodyParagraph"/>
      </w:pPr>
      <w:r>
        <w:t>Validation tests are essential to load impact evaluation.  Determining how well models or methods predict for circumstances where the correct answer is given is a well-known and excellent approach to validation testing.  Assessing the accuracy of reference loads is particularly important when load impact estimates are small (e.g., less than 10%), as any small error in reference loads can lead to much larger percent errors in estimated load impacts</w:t>
      </w:r>
      <w:r w:rsidRPr="00D72D02">
        <w:t xml:space="preserve">.  </w:t>
      </w:r>
      <w:r>
        <w:t xml:space="preserve">For example, if the actual load impact is only 5%, a 1% upward bias in the reference load means the model will predict a load impact of 6%, which is a 20% error in the impact estimate.  On the other hand, if the expected load impact is 20%, the same 1% error in the reference load will lead to only a 5% error in the estimated impact.  </w:t>
      </w:r>
    </w:p>
    <w:p w:rsidR="002B5AC6" w:rsidRDefault="002B5AC6" w:rsidP="002B5AC6">
      <w:pPr>
        <w:pStyle w:val="BodyParagraph"/>
      </w:pPr>
      <w:r>
        <w:t xml:space="preserve">The accuracy of the difference-in-differences method is assessed using a method known as </w:t>
      </w:r>
      <w:r w:rsidRPr="00945CA8">
        <w:t>false experiment</w:t>
      </w:r>
      <w:r>
        <w:t xml:space="preserve"> testing.  False experiments are instances </w:t>
      </w:r>
      <w:r w:rsidRPr="00945CA8">
        <w:t xml:space="preserve">where the </w:t>
      </w:r>
      <w:r w:rsidRPr="00A3685E">
        <w:rPr>
          <w:i/>
        </w:rPr>
        <w:t>true</w:t>
      </w:r>
      <w:r w:rsidRPr="00945CA8">
        <w:t xml:space="preserve"> answers are known and </w:t>
      </w:r>
      <w:r>
        <w:t xml:space="preserve">different approaches or models are </w:t>
      </w:r>
      <w:r w:rsidRPr="00945CA8">
        <w:t>systematically test</w:t>
      </w:r>
      <w:r>
        <w:t>ed</w:t>
      </w:r>
      <w:r w:rsidRPr="00945CA8">
        <w:t xml:space="preserve"> </w:t>
      </w:r>
      <w:r>
        <w:t xml:space="preserve">for </w:t>
      </w:r>
      <w:r w:rsidRPr="00945CA8">
        <w:t xml:space="preserve">accurate results.  The first step </w:t>
      </w:r>
      <w:r>
        <w:t xml:space="preserve">in this analysis is </w:t>
      </w:r>
      <w:r w:rsidRPr="00945CA8">
        <w:t xml:space="preserve">to </w:t>
      </w:r>
      <w:r>
        <w:t>select proxy event days</w:t>
      </w:r>
      <w:r w:rsidRPr="00945CA8">
        <w:t xml:space="preserve">.  </w:t>
      </w:r>
      <w:r>
        <w:t xml:space="preserve">Then, load impacts are estimated for those proxy days using models that include proxy day (or pseudo-event) variables.  The models and process used to estimate the pseudo-impacts during proxy event days are identical to those used in the actual estimation of ex post impacts. </w:t>
      </w:r>
      <w:r w:rsidRPr="00945CA8">
        <w:t xml:space="preserve"> </w:t>
      </w:r>
      <w:r>
        <w:t xml:space="preserve">If a method is accurate, the estimated impacts should </w:t>
      </w:r>
      <w:r w:rsidRPr="00945CA8">
        <w:t>center</w:t>
      </w:r>
      <w:r>
        <w:t xml:space="preserve"> </w:t>
      </w:r>
      <w:r w:rsidRPr="00945CA8">
        <w:t>on zero and</w:t>
      </w:r>
      <w:r>
        <w:t xml:space="preserve"> be statistically </w:t>
      </w:r>
      <w:r w:rsidRPr="00945CA8">
        <w:t xml:space="preserve">insignificant because, in fact, there </w:t>
      </w:r>
      <w:r>
        <w:t>is</w:t>
      </w:r>
      <w:r w:rsidRPr="00945CA8">
        <w:t xml:space="preserve"> no event.  If</w:t>
      </w:r>
      <w:r>
        <w:t xml:space="preserve"> the analysis indicates an impact</w:t>
      </w:r>
      <w:r w:rsidRPr="00945CA8">
        <w:t xml:space="preserve">, the </w:t>
      </w:r>
      <w:r>
        <w:t>method</w:t>
      </w:r>
      <w:r w:rsidRPr="00945CA8">
        <w:t xml:space="preserve"> </w:t>
      </w:r>
      <w:r>
        <w:t xml:space="preserve">is </w:t>
      </w:r>
      <w:r w:rsidRPr="00945CA8">
        <w:t xml:space="preserve">producing erroneous results.  </w:t>
      </w:r>
    </w:p>
    <w:p w:rsidR="002B5AC6" w:rsidRPr="00050374" w:rsidRDefault="002B5AC6" w:rsidP="002B5AC6">
      <w:pPr>
        <w:pStyle w:val="BodyBeforeBullet"/>
        <w:spacing w:before="360"/>
      </w:pPr>
      <w:r>
        <w:t>Three</w:t>
      </w:r>
      <w:r w:rsidRPr="00050374">
        <w:t xml:space="preserve"> </w:t>
      </w:r>
      <w:r>
        <w:t xml:space="preserve">key </w:t>
      </w:r>
      <w:r w:rsidRPr="00050374">
        <w:t>questions</w:t>
      </w:r>
      <w:r>
        <w:t xml:space="preserve"> are addressed in assessing model accuracy:</w:t>
      </w:r>
      <w:r w:rsidRPr="00050374">
        <w:t xml:space="preserve"> </w:t>
      </w:r>
    </w:p>
    <w:p w:rsidR="002B5AC6" w:rsidRPr="005D5047" w:rsidRDefault="002B5AC6" w:rsidP="002B5AC6">
      <w:pPr>
        <w:pStyle w:val="Bullets"/>
      </w:pPr>
      <w:r w:rsidRPr="005D5047">
        <w:rPr>
          <w:i/>
        </w:rPr>
        <w:t>Do proxy event days reflect event conditions?</w:t>
      </w:r>
      <w:r>
        <w:rPr>
          <w:i/>
        </w:rPr>
        <w:t xml:space="preserve"> </w:t>
      </w:r>
      <w:r w:rsidRPr="005D5047">
        <w:rPr>
          <w:i/>
        </w:rPr>
        <w:t xml:space="preserve"> </w:t>
      </w:r>
      <w:r>
        <w:t xml:space="preserve">The value of validation tests diminishes if the tests do not reflect event-like conditions. </w:t>
      </w:r>
    </w:p>
    <w:p w:rsidR="002B5AC6" w:rsidRDefault="002B5AC6" w:rsidP="002B5AC6">
      <w:pPr>
        <w:pStyle w:val="Bullets"/>
      </w:pPr>
      <w:r w:rsidRPr="00426BE7">
        <w:rPr>
          <w:i/>
        </w:rPr>
        <w:t>Do</w:t>
      </w:r>
      <w:r>
        <w:rPr>
          <w:i/>
        </w:rPr>
        <w:t>es</w:t>
      </w:r>
      <w:r w:rsidRPr="00426BE7">
        <w:rPr>
          <w:i/>
        </w:rPr>
        <w:t xml:space="preserve"> the model produce unbiased estimates at the program level? </w:t>
      </w:r>
      <w:r>
        <w:rPr>
          <w:i/>
        </w:rPr>
        <w:t xml:space="preserve"> </w:t>
      </w:r>
      <w:r w:rsidRPr="00050374">
        <w:t>The main metric</w:t>
      </w:r>
      <w:r>
        <w:t xml:space="preserve"> used to assess bias is</w:t>
      </w:r>
      <w:r w:rsidRPr="00050374">
        <w:t xml:space="preserve"> the program mean percent error</w:t>
      </w:r>
      <w:r>
        <w:t xml:space="preserve">, which can be interpreted as the percentage by which a method tends to over or under predict.  </w:t>
      </w:r>
      <w:r w:rsidRPr="00426BE7">
        <w:t>To illustrate, a bias statistic of</w:t>
      </w:r>
      <w:r>
        <w:t> </w:t>
      </w:r>
      <w:r w:rsidRPr="00426BE7">
        <w:t>5% indicates that the approach tends to overestimate demand reductions by 5%.</w:t>
      </w:r>
      <w:r>
        <w:t xml:space="preserve">  Average hourly load impacts during proxy event days are used to assess bias.</w:t>
      </w:r>
    </w:p>
    <w:p w:rsidR="002B5AC6" w:rsidRDefault="002B5AC6" w:rsidP="002B5AC6">
      <w:pPr>
        <w:pStyle w:val="BulletLast"/>
      </w:pPr>
      <w:r w:rsidRPr="0040006F">
        <w:rPr>
          <w:i/>
        </w:rPr>
        <w:t>How closely do program level estimates for individual event hours and days match actual demand reductions (goodness-of-fit)?</w:t>
      </w:r>
      <w:r w:rsidRPr="00A452DD">
        <w:t xml:space="preserve">  </w:t>
      </w:r>
      <w:r w:rsidRPr="00C95787">
        <w:t>An evaluation m</w:t>
      </w:r>
      <w:r>
        <w:t>ethod</w:t>
      </w:r>
      <w:r w:rsidRPr="00C95787">
        <w:t xml:space="preserve"> can be accurate on average but</w:t>
      </w:r>
      <w:r>
        <w:t> </w:t>
      </w:r>
      <w:r w:rsidRPr="00C95787">
        <w:t xml:space="preserve">perform poorly for individual event hours.  This occurs when errors cancel each other out.  </w:t>
      </w:r>
    </w:p>
    <w:p w:rsidR="002B5AC6" w:rsidRDefault="002B5AC6" w:rsidP="002B5AC6">
      <w:pPr>
        <w:pStyle w:val="BodyParagraph"/>
      </w:pPr>
      <w:r>
        <w:t>Proxy event days are selected by matching historical events to non-event days based on system loads, temperature conditions and day of week.</w:t>
      </w:r>
      <w:r>
        <w:rPr>
          <w:rStyle w:val="FootnoteReference"/>
        </w:rPr>
        <w:footnoteReference w:id="16"/>
      </w:r>
      <w:r>
        <w:t xml:space="preserve">  CPP event days tend to differ from typical days.  System </w:t>
      </w:r>
      <w:r>
        <w:lastRenderedPageBreak/>
        <w:t xml:space="preserve">loads are typically higher, the days are hotter and they are more likely to fall on specific weekdays.  Most event days were matched to similar non-event days, however, comparable non-event days are not available for some of the days with the most extreme weather.  </w:t>
      </w:r>
    </w:p>
    <w:p w:rsidR="002B5AC6" w:rsidRDefault="002B5AC6" w:rsidP="002B5AC6">
      <w:pPr>
        <w:pStyle w:val="BodyParagraph"/>
      </w:pPr>
      <w:r>
        <w:t xml:space="preserve">Figure 3-3 shows how the proxy event days compare to actual event days for each utility.  It plots the system peak load and the temperature conditions for each event day and for each proxy event day.  In selecting proxy event days, all historical default CPP event days were allowed to be matched.   Additional weight was accorded to candidate days that occurred in the same year as actual events.  The proxy days match actual event days relatively well.  The sole exception is PG&amp;E, where the proxy days tend to have lower temperatures and loads.  </w:t>
      </w:r>
    </w:p>
    <w:p w:rsidR="002B5AC6" w:rsidRDefault="002B5AC6" w:rsidP="002B5AC6">
      <w:pPr>
        <w:pStyle w:val="TableFigureCaption"/>
      </w:pPr>
      <w:r>
        <w:t>Figure 3-3: Comparison of Actual and Proxy Event Days by Utility</w:t>
      </w:r>
    </w:p>
    <w:p w:rsidR="002B5AC6" w:rsidRDefault="002B5AC6" w:rsidP="002B5AC6">
      <w:pPr>
        <w:pStyle w:val="BodyParagraph"/>
      </w:pPr>
      <w:r w:rsidRPr="003B671C">
        <w:rPr>
          <w:noProof/>
        </w:rPr>
        <w:drawing>
          <wp:inline distT="0" distB="0" distL="0" distR="0" wp14:anchorId="3D63A837" wp14:editId="33392AAF">
            <wp:extent cx="6139218" cy="310896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38980" cy="3108840"/>
                    </a:xfrm>
                    <a:prstGeom prst="rect">
                      <a:avLst/>
                    </a:prstGeom>
                    <a:noFill/>
                    <a:ln w="9525">
                      <a:noFill/>
                      <a:miter lim="800000"/>
                      <a:headEnd/>
                      <a:tailEnd/>
                    </a:ln>
                  </pic:spPr>
                </pic:pic>
              </a:graphicData>
            </a:graphic>
          </wp:inline>
        </w:drawing>
      </w:r>
    </w:p>
    <w:p w:rsidR="002B5AC6" w:rsidRDefault="002B5AC6" w:rsidP="002B5AC6">
      <w:pPr>
        <w:pStyle w:val="BodyParaAfterTableFigure"/>
      </w:pPr>
      <w:r>
        <w:t>Impacts were estimated for the proxy event days, using the same models and process used for the ex post evaluation.</w:t>
      </w:r>
      <w:r>
        <w:rPr>
          <w:rStyle w:val="FootnoteReference"/>
        </w:rPr>
        <w:footnoteReference w:id="17"/>
      </w:r>
      <w:r>
        <w:t xml:space="preserve">  As noted earlier, if a method is accurate, it</w:t>
      </w:r>
      <w:r w:rsidRPr="00945CA8">
        <w:t xml:space="preserve"> </w:t>
      </w:r>
      <w:r>
        <w:t>produces impact estimates</w:t>
      </w:r>
      <w:r w:rsidRPr="00945CA8">
        <w:t xml:space="preserve"> </w:t>
      </w:r>
      <w:r>
        <w:t xml:space="preserve">for the average event that </w:t>
      </w:r>
      <w:r w:rsidRPr="00945CA8">
        <w:t>center</w:t>
      </w:r>
      <w:r>
        <w:t xml:space="preserve"> </w:t>
      </w:r>
      <w:r w:rsidRPr="00945CA8">
        <w:t>on zero and</w:t>
      </w:r>
      <w:r>
        <w:t xml:space="preserve"> are</w:t>
      </w:r>
      <w:r w:rsidRPr="00945CA8">
        <w:t xml:space="preserve"> insignificant because, in fact, there </w:t>
      </w:r>
      <w:r>
        <w:t>is</w:t>
      </w:r>
      <w:r w:rsidRPr="00945CA8">
        <w:t xml:space="preserve"> no event.</w:t>
      </w:r>
      <w:r>
        <w:t xml:space="preserve">  Figure 3-4 summarizes the results of the validation tests for the average event day for all three utilities.  It shows the estimated reference load, the actual loads observed for CPP participants and the estimated impacts for the proxy events.  As expected, the impacts when CPP event day prices were </w:t>
      </w:r>
      <w:r>
        <w:rPr>
          <w:i/>
        </w:rPr>
        <w:t>not</w:t>
      </w:r>
      <w:r>
        <w:t xml:space="preserve"> in effect are near zero and the reference loads estimated via the control group match the CPP participant loads. </w:t>
      </w:r>
    </w:p>
    <w:p w:rsidR="002B5AC6" w:rsidRPr="003B671C" w:rsidRDefault="002B5AC6" w:rsidP="002B5AC6">
      <w:pPr>
        <w:pStyle w:val="TableFigureCaption"/>
        <w:spacing w:after="0"/>
      </w:pPr>
      <w:r>
        <w:lastRenderedPageBreak/>
        <w:t>Figure 3-4: False Experiment Results for PG&amp;E, SCE and SDG&amp;E</w:t>
      </w:r>
    </w:p>
    <w:p w:rsidR="002B5AC6" w:rsidRDefault="002B5AC6" w:rsidP="002B5AC6">
      <w:pPr>
        <w:pStyle w:val="BodyParagraph"/>
      </w:pPr>
      <w:r>
        <w:rPr>
          <w:noProof/>
        </w:rPr>
        <w:drawing>
          <wp:inline distT="0" distB="0" distL="0" distR="0" wp14:anchorId="33275A36" wp14:editId="07BC8CE8">
            <wp:extent cx="5940626" cy="3627120"/>
            <wp:effectExtent l="0" t="0" r="0" b="0"/>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srcRect/>
                    <a:stretch>
                      <a:fillRect/>
                    </a:stretch>
                  </pic:blipFill>
                  <pic:spPr bwMode="auto">
                    <a:xfrm>
                      <a:off x="0" y="0"/>
                      <a:ext cx="5943600" cy="3628936"/>
                    </a:xfrm>
                    <a:prstGeom prst="rect">
                      <a:avLst/>
                    </a:prstGeom>
                    <a:noFill/>
                    <a:ln w="9525">
                      <a:noFill/>
                      <a:miter lim="800000"/>
                      <a:headEnd/>
                      <a:tailEnd/>
                    </a:ln>
                  </pic:spPr>
                </pic:pic>
              </a:graphicData>
            </a:graphic>
          </wp:inline>
        </w:drawing>
      </w:r>
    </w:p>
    <w:p w:rsidR="002B5AC6" w:rsidRDefault="002B5AC6" w:rsidP="002B5AC6">
      <w:pPr>
        <w:pStyle w:val="BodyParagraph"/>
      </w:pPr>
      <w:r>
        <w:t xml:space="preserve">There are small, but subtle differences.  For PG&amp;E, SCE and SDG&amp;E, impacts were estimated to be </w:t>
      </w:r>
      <w:r>
        <w:noBreakHyphen/>
        <w:t>0.3%, </w:t>
      </w:r>
      <w:r>
        <w:noBreakHyphen/>
        <w:t xml:space="preserve">0.2% and -0.7%, respectively, during the event hours of the average proxy event.  These differences are negligible and are not statistically significant. </w:t>
      </w:r>
    </w:p>
    <w:p w:rsidR="002B5AC6" w:rsidRDefault="002B5AC6" w:rsidP="002B5AC6">
      <w:pPr>
        <w:pStyle w:val="BodyParagraph"/>
      </w:pPr>
      <w:r>
        <w:t xml:space="preserve">There is inherently more volatility and estimation error for individual event days than for the average event day.  The results for the average event day are always more accurate and more precise than they are for individual days.  </w:t>
      </w:r>
      <w:r w:rsidRPr="00C95787">
        <w:t>An evaluation m</w:t>
      </w:r>
      <w:r>
        <w:t>ethod</w:t>
      </w:r>
      <w:r w:rsidRPr="00C95787">
        <w:t xml:space="preserve"> can be accurate on average but perform poorly for individual event </w:t>
      </w:r>
      <w:r>
        <w:t>day</w:t>
      </w:r>
      <w:r w:rsidRPr="00C95787">
        <w:t xml:space="preserve">s. </w:t>
      </w:r>
      <w:r>
        <w:t xml:space="preserve"> The final check involved assessing how well </w:t>
      </w:r>
      <w:r w:rsidRPr="0083646E">
        <w:t>estimates for individual event</w:t>
      </w:r>
      <w:r>
        <w:t xml:space="preserve"> d</w:t>
      </w:r>
      <w:r w:rsidRPr="0083646E">
        <w:t xml:space="preserve">ays match </w:t>
      </w:r>
      <w:r>
        <w:t xml:space="preserve">the actual demand reduction, zero, during the proxy event days.  </w:t>
      </w:r>
    </w:p>
    <w:p w:rsidR="002B5AC6" w:rsidRDefault="002B5AC6" w:rsidP="002B5AC6">
      <w:pPr>
        <w:pStyle w:val="BodyParagraph"/>
      </w:pPr>
      <w:r>
        <w:t xml:space="preserve">Table 3-2 summarizes the magnitude of errors for individual days from the false experiments.  In percentage terms, the errors are relatively small.  The </w:t>
      </w:r>
      <w:r w:rsidRPr="00C95787">
        <w:t>mean absolute percentage error (MAPE)</w:t>
      </w:r>
      <w:r>
        <w:t xml:space="preserve"> reflects</w:t>
      </w:r>
      <w:r w:rsidRPr="00C95787">
        <w:t xml:space="preserve"> the typical magnitude of the errors</w:t>
      </w:r>
      <w:r>
        <w:t> </w:t>
      </w:r>
      <w:r w:rsidRPr="00C95787">
        <w:t>for</w:t>
      </w:r>
      <w:r>
        <w:t> </w:t>
      </w:r>
      <w:r w:rsidRPr="00C95787">
        <w:t>individual</w:t>
      </w:r>
      <w:r>
        <w:t xml:space="preserve"> events</w:t>
      </w:r>
      <w:r w:rsidRPr="00C95787">
        <w:t xml:space="preserve"> on a percentage basis, with lower values indicating less</w:t>
      </w:r>
      <w:r>
        <w:t> </w:t>
      </w:r>
      <w:r w:rsidRPr="00C95787">
        <w:t>error.</w:t>
      </w:r>
      <w:r>
        <w:t xml:space="preserve">  While the typical errors are small, it is critical to remember that the load impact estimates historically have been relatively small (e.g., 6%).  A small error, such as 1.5%, can lead to substantive differences in the estimated impacts.  For example, if the true demand reduction is 6%, an error of -1.5% in the reference loads will indicate impacts of 4.5%, understating the true demand reductions by 25%.  Individual day results should be interpreted with caution, since they are less precise and more volatile than average event day results.  </w:t>
      </w:r>
    </w:p>
    <w:p w:rsidR="002B5AC6" w:rsidRDefault="002B5AC6" w:rsidP="002B5AC6">
      <w:pPr>
        <w:rPr>
          <w:rFonts w:ascii="Verdana" w:hAnsi="Verdana"/>
          <w:sz w:val="18"/>
        </w:rPr>
      </w:pPr>
      <w:r>
        <w:br w:type="page"/>
      </w:r>
    </w:p>
    <w:p w:rsidR="002B5AC6" w:rsidRPr="00EC2167" w:rsidRDefault="002B5AC6" w:rsidP="002B5AC6">
      <w:pPr>
        <w:pStyle w:val="TableFigureCaption"/>
      </w:pPr>
      <w:r>
        <w:lastRenderedPageBreak/>
        <w:t>Table 3</w:t>
      </w:r>
      <w:r w:rsidRPr="00EC2167">
        <w:t>-2: False Experiment Results for PG&amp;E, SCE and SDG&amp;E</w:t>
      </w:r>
    </w:p>
    <w:tbl>
      <w:tblPr>
        <w:tblW w:w="5000" w:type="pct"/>
        <w:tblLook w:val="04A0" w:firstRow="1" w:lastRow="0" w:firstColumn="1" w:lastColumn="0" w:noHBand="0" w:noVBand="1"/>
      </w:tblPr>
      <w:tblGrid>
        <w:gridCol w:w="849"/>
        <w:gridCol w:w="1245"/>
        <w:gridCol w:w="848"/>
        <w:gridCol w:w="850"/>
        <w:gridCol w:w="1205"/>
        <w:gridCol w:w="848"/>
        <w:gridCol w:w="850"/>
        <w:gridCol w:w="1184"/>
        <w:gridCol w:w="850"/>
        <w:gridCol w:w="847"/>
      </w:tblGrid>
      <w:tr w:rsidR="002B5AC6" w:rsidRPr="0076120B" w:rsidTr="00196F33">
        <w:trPr>
          <w:trHeight w:val="288"/>
        </w:trPr>
        <w:tc>
          <w:tcPr>
            <w:tcW w:w="443" w:type="pct"/>
            <w:vMerge w:val="restart"/>
            <w:tcBorders>
              <w:top w:val="single" w:sz="4" w:space="0" w:color="000000"/>
              <w:left w:val="single" w:sz="4" w:space="0" w:color="000000"/>
              <w:bottom w:val="single" w:sz="4" w:space="0" w:color="FFFFFF"/>
              <w:right w:val="single" w:sz="4" w:space="0" w:color="FFFFFF"/>
            </w:tcBorders>
            <w:shd w:val="clear" w:color="auto" w:fill="1F497D" w:themeFill="text2"/>
            <w:vAlign w:val="center"/>
            <w:hideMark/>
          </w:tcPr>
          <w:p w:rsidR="002B5AC6" w:rsidRPr="00EC2167" w:rsidRDefault="002B5AC6" w:rsidP="001E3B5B">
            <w:pPr>
              <w:pStyle w:val="TableHeader"/>
              <w:rPr>
                <w:b w:val="0"/>
                <w:sz w:val="18"/>
                <w:szCs w:val="18"/>
              </w:rPr>
            </w:pPr>
            <w:r w:rsidRPr="00EC2167">
              <w:rPr>
                <w:sz w:val="18"/>
                <w:szCs w:val="18"/>
              </w:rPr>
              <w:t>Proxy Event No.</w:t>
            </w:r>
          </w:p>
        </w:tc>
        <w:tc>
          <w:tcPr>
            <w:tcW w:w="1536" w:type="pct"/>
            <w:gridSpan w:val="3"/>
            <w:tcBorders>
              <w:top w:val="single" w:sz="4" w:space="0" w:color="000000"/>
              <w:left w:val="nil"/>
              <w:bottom w:val="single" w:sz="4" w:space="0" w:color="FFFFFF"/>
              <w:right w:val="single" w:sz="4" w:space="0" w:color="FFFFFF"/>
            </w:tcBorders>
            <w:shd w:val="clear" w:color="auto" w:fill="1F497D" w:themeFill="text2"/>
            <w:vAlign w:val="center"/>
            <w:hideMark/>
          </w:tcPr>
          <w:p w:rsidR="002B5AC6" w:rsidRPr="00EC2167" w:rsidRDefault="002B5AC6" w:rsidP="001E3B5B">
            <w:pPr>
              <w:pStyle w:val="TableHeader"/>
              <w:rPr>
                <w:b w:val="0"/>
                <w:sz w:val="18"/>
                <w:szCs w:val="18"/>
              </w:rPr>
            </w:pPr>
            <w:r w:rsidRPr="00EC2167">
              <w:rPr>
                <w:sz w:val="18"/>
                <w:szCs w:val="18"/>
              </w:rPr>
              <w:t>PG&amp;E</w:t>
            </w:r>
          </w:p>
        </w:tc>
        <w:tc>
          <w:tcPr>
            <w:tcW w:w="1516" w:type="pct"/>
            <w:gridSpan w:val="3"/>
            <w:tcBorders>
              <w:top w:val="single" w:sz="4" w:space="0" w:color="auto"/>
              <w:left w:val="nil"/>
              <w:bottom w:val="single" w:sz="4" w:space="0" w:color="FFFFFF"/>
              <w:right w:val="single" w:sz="4" w:space="0" w:color="FFFFFF"/>
            </w:tcBorders>
            <w:shd w:val="clear" w:color="auto" w:fill="1F497D" w:themeFill="text2"/>
            <w:vAlign w:val="center"/>
            <w:hideMark/>
          </w:tcPr>
          <w:p w:rsidR="002B5AC6" w:rsidRPr="00EC2167" w:rsidRDefault="002B5AC6" w:rsidP="001E3B5B">
            <w:pPr>
              <w:pStyle w:val="TableHeader"/>
              <w:rPr>
                <w:b w:val="0"/>
                <w:sz w:val="18"/>
                <w:szCs w:val="18"/>
              </w:rPr>
            </w:pPr>
            <w:r w:rsidRPr="00EC2167">
              <w:rPr>
                <w:sz w:val="18"/>
                <w:szCs w:val="18"/>
              </w:rPr>
              <w:t>SCE</w:t>
            </w:r>
          </w:p>
        </w:tc>
        <w:tc>
          <w:tcPr>
            <w:tcW w:w="1505" w:type="pct"/>
            <w:gridSpan w:val="3"/>
            <w:tcBorders>
              <w:top w:val="single" w:sz="4" w:space="0" w:color="auto"/>
              <w:left w:val="nil"/>
              <w:bottom w:val="single" w:sz="4" w:space="0" w:color="FFFFFF"/>
              <w:right w:val="single" w:sz="4" w:space="0" w:color="000000"/>
            </w:tcBorders>
            <w:shd w:val="clear" w:color="auto" w:fill="1F497D" w:themeFill="text2"/>
            <w:vAlign w:val="center"/>
            <w:hideMark/>
          </w:tcPr>
          <w:p w:rsidR="002B5AC6" w:rsidRPr="00EC2167" w:rsidRDefault="002B5AC6" w:rsidP="001E3B5B">
            <w:pPr>
              <w:pStyle w:val="TableHeader"/>
              <w:rPr>
                <w:b w:val="0"/>
                <w:sz w:val="18"/>
                <w:szCs w:val="18"/>
              </w:rPr>
            </w:pPr>
            <w:r w:rsidRPr="00EC2167">
              <w:rPr>
                <w:sz w:val="18"/>
                <w:szCs w:val="18"/>
              </w:rPr>
              <w:t>SDG&amp;E</w:t>
            </w:r>
          </w:p>
        </w:tc>
      </w:tr>
      <w:tr w:rsidR="002B5AC6" w:rsidRPr="0068405F" w:rsidTr="00196F33">
        <w:trPr>
          <w:trHeight w:val="576"/>
        </w:trPr>
        <w:tc>
          <w:tcPr>
            <w:tcW w:w="443" w:type="pct"/>
            <w:vMerge/>
            <w:tcBorders>
              <w:top w:val="single" w:sz="4" w:space="0" w:color="000000"/>
              <w:left w:val="single" w:sz="4" w:space="0" w:color="000000"/>
              <w:bottom w:val="single" w:sz="4" w:space="0" w:color="FFFFFF"/>
              <w:right w:val="single" w:sz="4" w:space="0" w:color="FFFFFF"/>
            </w:tcBorders>
            <w:shd w:val="clear" w:color="auto" w:fill="1F497D" w:themeFill="text2"/>
            <w:vAlign w:val="center"/>
            <w:hideMark/>
          </w:tcPr>
          <w:p w:rsidR="002B5AC6" w:rsidRPr="00EC2167" w:rsidRDefault="002B5AC6" w:rsidP="001E3B5B">
            <w:pPr>
              <w:pStyle w:val="TableHeader"/>
              <w:rPr>
                <w:b w:val="0"/>
                <w:sz w:val="18"/>
                <w:szCs w:val="18"/>
              </w:rPr>
            </w:pPr>
          </w:p>
        </w:tc>
        <w:tc>
          <w:tcPr>
            <w:tcW w:w="650" w:type="pct"/>
            <w:tcBorders>
              <w:top w:val="nil"/>
              <w:left w:val="nil"/>
              <w:bottom w:val="single" w:sz="4" w:space="0" w:color="auto"/>
              <w:right w:val="single" w:sz="4" w:space="0" w:color="FFFFFF"/>
            </w:tcBorders>
            <w:shd w:val="clear" w:color="auto" w:fill="1F497D" w:themeFill="text2"/>
            <w:vAlign w:val="center"/>
            <w:hideMark/>
          </w:tcPr>
          <w:p w:rsidR="002B5AC6" w:rsidRPr="00EC2167" w:rsidRDefault="002B5AC6" w:rsidP="001E3B5B">
            <w:pPr>
              <w:pStyle w:val="TableHeader"/>
              <w:rPr>
                <w:b w:val="0"/>
                <w:sz w:val="18"/>
                <w:szCs w:val="18"/>
              </w:rPr>
            </w:pPr>
            <w:r w:rsidRPr="00EC2167">
              <w:rPr>
                <w:sz w:val="18"/>
                <w:szCs w:val="18"/>
              </w:rPr>
              <w:t>Proxy Event Date</w:t>
            </w:r>
          </w:p>
        </w:tc>
        <w:tc>
          <w:tcPr>
            <w:tcW w:w="443" w:type="pct"/>
            <w:tcBorders>
              <w:top w:val="nil"/>
              <w:left w:val="nil"/>
              <w:bottom w:val="single" w:sz="4" w:space="0" w:color="auto"/>
              <w:right w:val="single" w:sz="4" w:space="0" w:color="FFFFFF"/>
            </w:tcBorders>
            <w:shd w:val="clear" w:color="auto" w:fill="1F497D" w:themeFill="text2"/>
            <w:vAlign w:val="center"/>
            <w:hideMark/>
          </w:tcPr>
          <w:p w:rsidR="002B5AC6" w:rsidRPr="00EC2167" w:rsidRDefault="002B5AC6" w:rsidP="001E3B5B">
            <w:pPr>
              <w:pStyle w:val="TableHeader"/>
              <w:rPr>
                <w:b w:val="0"/>
                <w:sz w:val="18"/>
                <w:szCs w:val="18"/>
              </w:rPr>
            </w:pPr>
            <w:r w:rsidRPr="00EC2167">
              <w:rPr>
                <w:sz w:val="18"/>
                <w:szCs w:val="18"/>
              </w:rPr>
              <w:t xml:space="preserve"> Error (kW)</w:t>
            </w:r>
          </w:p>
        </w:tc>
        <w:tc>
          <w:tcPr>
            <w:tcW w:w="444" w:type="pct"/>
            <w:tcBorders>
              <w:top w:val="nil"/>
              <w:left w:val="nil"/>
              <w:bottom w:val="single" w:sz="4" w:space="0" w:color="auto"/>
              <w:right w:val="single" w:sz="4" w:space="0" w:color="FFFFFF"/>
            </w:tcBorders>
            <w:shd w:val="clear" w:color="auto" w:fill="1F497D" w:themeFill="text2"/>
            <w:vAlign w:val="center"/>
            <w:hideMark/>
          </w:tcPr>
          <w:p w:rsidR="002B5AC6" w:rsidRPr="00EC2167" w:rsidRDefault="002B5AC6" w:rsidP="001E3B5B">
            <w:pPr>
              <w:pStyle w:val="TableHeader"/>
              <w:rPr>
                <w:b w:val="0"/>
                <w:sz w:val="18"/>
                <w:szCs w:val="18"/>
              </w:rPr>
            </w:pPr>
            <w:r w:rsidRPr="00EC2167">
              <w:rPr>
                <w:sz w:val="18"/>
                <w:szCs w:val="18"/>
              </w:rPr>
              <w:t>% Error</w:t>
            </w:r>
          </w:p>
        </w:tc>
        <w:tc>
          <w:tcPr>
            <w:tcW w:w="629" w:type="pct"/>
            <w:tcBorders>
              <w:top w:val="nil"/>
              <w:left w:val="nil"/>
              <w:bottom w:val="single" w:sz="4" w:space="0" w:color="auto"/>
              <w:right w:val="single" w:sz="4" w:space="0" w:color="FFFFFF"/>
            </w:tcBorders>
            <w:shd w:val="clear" w:color="auto" w:fill="1F497D" w:themeFill="text2"/>
            <w:vAlign w:val="center"/>
            <w:hideMark/>
          </w:tcPr>
          <w:p w:rsidR="002B5AC6" w:rsidRPr="00EC2167" w:rsidRDefault="002B5AC6" w:rsidP="001E3B5B">
            <w:pPr>
              <w:pStyle w:val="TableHeader"/>
              <w:rPr>
                <w:b w:val="0"/>
                <w:sz w:val="18"/>
                <w:szCs w:val="18"/>
              </w:rPr>
            </w:pPr>
            <w:r w:rsidRPr="00EC2167">
              <w:rPr>
                <w:sz w:val="18"/>
                <w:szCs w:val="18"/>
              </w:rPr>
              <w:t>Proxy Event Date</w:t>
            </w:r>
          </w:p>
        </w:tc>
        <w:tc>
          <w:tcPr>
            <w:tcW w:w="443" w:type="pct"/>
            <w:tcBorders>
              <w:top w:val="nil"/>
              <w:left w:val="nil"/>
              <w:bottom w:val="single" w:sz="4" w:space="0" w:color="auto"/>
              <w:right w:val="single" w:sz="4" w:space="0" w:color="FFFFFF"/>
            </w:tcBorders>
            <w:shd w:val="clear" w:color="auto" w:fill="1F497D" w:themeFill="text2"/>
            <w:vAlign w:val="center"/>
            <w:hideMark/>
          </w:tcPr>
          <w:p w:rsidR="002B5AC6" w:rsidRPr="00EC2167" w:rsidRDefault="002B5AC6" w:rsidP="001E3B5B">
            <w:pPr>
              <w:pStyle w:val="TableHeader"/>
              <w:rPr>
                <w:b w:val="0"/>
                <w:sz w:val="18"/>
                <w:szCs w:val="18"/>
              </w:rPr>
            </w:pPr>
            <w:r w:rsidRPr="00EC2167">
              <w:rPr>
                <w:sz w:val="18"/>
                <w:szCs w:val="18"/>
              </w:rPr>
              <w:t>Error (kW)</w:t>
            </w:r>
          </w:p>
        </w:tc>
        <w:tc>
          <w:tcPr>
            <w:tcW w:w="444" w:type="pct"/>
            <w:tcBorders>
              <w:top w:val="nil"/>
              <w:left w:val="nil"/>
              <w:bottom w:val="single" w:sz="4" w:space="0" w:color="auto"/>
              <w:right w:val="single" w:sz="4" w:space="0" w:color="FFFFFF"/>
            </w:tcBorders>
            <w:shd w:val="clear" w:color="auto" w:fill="1F497D" w:themeFill="text2"/>
            <w:vAlign w:val="center"/>
            <w:hideMark/>
          </w:tcPr>
          <w:p w:rsidR="002B5AC6" w:rsidRPr="00EC2167" w:rsidRDefault="002B5AC6" w:rsidP="001E3B5B">
            <w:pPr>
              <w:pStyle w:val="TableHeader"/>
              <w:rPr>
                <w:b w:val="0"/>
                <w:sz w:val="18"/>
                <w:szCs w:val="18"/>
              </w:rPr>
            </w:pPr>
            <w:r w:rsidRPr="00EC2167">
              <w:rPr>
                <w:sz w:val="18"/>
                <w:szCs w:val="18"/>
              </w:rPr>
              <w:t>% Error</w:t>
            </w:r>
          </w:p>
        </w:tc>
        <w:tc>
          <w:tcPr>
            <w:tcW w:w="618" w:type="pct"/>
            <w:tcBorders>
              <w:top w:val="nil"/>
              <w:left w:val="nil"/>
              <w:bottom w:val="single" w:sz="4" w:space="0" w:color="auto"/>
              <w:right w:val="single" w:sz="4" w:space="0" w:color="FFFFFF"/>
            </w:tcBorders>
            <w:shd w:val="clear" w:color="auto" w:fill="1F497D" w:themeFill="text2"/>
            <w:vAlign w:val="center"/>
            <w:hideMark/>
          </w:tcPr>
          <w:p w:rsidR="002B5AC6" w:rsidRPr="00EC2167" w:rsidRDefault="002B5AC6" w:rsidP="001E3B5B">
            <w:pPr>
              <w:pStyle w:val="TableHeader"/>
              <w:rPr>
                <w:b w:val="0"/>
                <w:sz w:val="18"/>
                <w:szCs w:val="18"/>
              </w:rPr>
            </w:pPr>
            <w:r w:rsidRPr="00EC2167">
              <w:rPr>
                <w:sz w:val="18"/>
                <w:szCs w:val="18"/>
              </w:rPr>
              <w:t>Proxy Event Date</w:t>
            </w:r>
          </w:p>
        </w:tc>
        <w:tc>
          <w:tcPr>
            <w:tcW w:w="444" w:type="pct"/>
            <w:tcBorders>
              <w:top w:val="nil"/>
              <w:left w:val="nil"/>
              <w:bottom w:val="single" w:sz="4" w:space="0" w:color="auto"/>
              <w:right w:val="single" w:sz="4" w:space="0" w:color="FFFFFF"/>
            </w:tcBorders>
            <w:shd w:val="clear" w:color="auto" w:fill="1F497D" w:themeFill="text2"/>
            <w:vAlign w:val="center"/>
            <w:hideMark/>
          </w:tcPr>
          <w:p w:rsidR="002B5AC6" w:rsidRPr="00EC2167" w:rsidRDefault="002B5AC6" w:rsidP="001E3B5B">
            <w:pPr>
              <w:pStyle w:val="TableHeader"/>
              <w:rPr>
                <w:b w:val="0"/>
                <w:sz w:val="18"/>
                <w:szCs w:val="18"/>
              </w:rPr>
            </w:pPr>
            <w:r w:rsidRPr="00EC2167">
              <w:rPr>
                <w:sz w:val="18"/>
                <w:szCs w:val="18"/>
              </w:rPr>
              <w:t>Error (kW)</w:t>
            </w:r>
          </w:p>
        </w:tc>
        <w:tc>
          <w:tcPr>
            <w:tcW w:w="443" w:type="pct"/>
            <w:tcBorders>
              <w:top w:val="nil"/>
              <w:left w:val="nil"/>
              <w:bottom w:val="single" w:sz="4" w:space="0" w:color="auto"/>
              <w:right w:val="single" w:sz="4" w:space="0" w:color="auto"/>
            </w:tcBorders>
            <w:shd w:val="clear" w:color="auto" w:fill="1F497D" w:themeFill="text2"/>
            <w:vAlign w:val="center"/>
            <w:hideMark/>
          </w:tcPr>
          <w:p w:rsidR="002B5AC6" w:rsidRPr="00EC2167" w:rsidRDefault="002B5AC6" w:rsidP="001E3B5B">
            <w:pPr>
              <w:pStyle w:val="TableHeader"/>
              <w:rPr>
                <w:b w:val="0"/>
                <w:sz w:val="18"/>
                <w:szCs w:val="18"/>
              </w:rPr>
            </w:pPr>
            <w:r w:rsidRPr="00EC2167">
              <w:rPr>
                <w:sz w:val="18"/>
                <w:szCs w:val="18"/>
              </w:rPr>
              <w:t>% Error</w:t>
            </w:r>
          </w:p>
        </w:tc>
      </w:tr>
      <w:tr w:rsidR="002B5AC6" w:rsidRPr="0076120B" w:rsidTr="001E3B5B">
        <w:trPr>
          <w:trHeight w:val="360"/>
        </w:trPr>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5/31/2012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-5.7</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-2.0%</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8/2/2012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-2.4</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-1.1%</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8/16/2012</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-0.9</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-0.3%</w:t>
            </w:r>
          </w:p>
        </w:tc>
      </w:tr>
      <w:tr w:rsidR="002B5AC6" w:rsidRPr="0076120B" w:rsidTr="001E3B5B">
        <w:trPr>
          <w:trHeight w:val="360"/>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6/1/2012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0.9</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0.3%</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8/3/2012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-3.6</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-1.8%</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8/20/2012</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-8.7</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-3.3%</w:t>
            </w:r>
          </w:p>
        </w:tc>
      </w:tr>
      <w:tr w:rsidR="002B5AC6" w:rsidRPr="0076120B" w:rsidTr="001E3B5B">
        <w:trPr>
          <w:trHeight w:val="360"/>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3</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6/11/2012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-2.7</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-0.9%</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8/6/2012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-1.1</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-0.5%</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8/28/2012</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-5.4</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-2.2%</w:t>
            </w:r>
          </w:p>
        </w:tc>
      </w:tr>
      <w:tr w:rsidR="002B5AC6" w:rsidRPr="0076120B" w:rsidTr="001E3B5B">
        <w:trPr>
          <w:trHeight w:val="360"/>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4</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6/20/2012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-1.2</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-0.4%</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8/8/2012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2.1</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0.9%</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8/29/2012</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-5.2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-2.0%</w:t>
            </w:r>
          </w:p>
        </w:tc>
      </w:tr>
      <w:tr w:rsidR="002B5AC6" w:rsidRPr="0076120B" w:rsidTr="001E3B5B">
        <w:trPr>
          <w:trHeight w:val="360"/>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5</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7/23/2012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-8.2</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-3.0%</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8/10/2012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-0.3</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-0.1%</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8/31/2012</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-4.0</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-1.6%</w:t>
            </w:r>
          </w:p>
        </w:tc>
      </w:tr>
      <w:tr w:rsidR="002B5AC6" w:rsidRPr="0076120B" w:rsidTr="001E3B5B">
        <w:trPr>
          <w:trHeight w:val="360"/>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6</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7/30/2012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-1.1</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-0.4%</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8/16/2012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0.0</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0.0%</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9/4/2012</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2.6</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1.0%</w:t>
            </w:r>
          </w:p>
        </w:tc>
      </w:tr>
      <w:tr w:rsidR="002B5AC6" w:rsidRPr="0076120B" w:rsidTr="001E3B5B">
        <w:trPr>
          <w:trHeight w:val="360"/>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7</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7/31/2012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2.7</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0.9%</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8/17/2012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3.5</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1.5%</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9/5/2012</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-0.3</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-0.1%</w:t>
            </w:r>
          </w:p>
        </w:tc>
      </w:tr>
      <w:tr w:rsidR="002B5AC6" w:rsidRPr="0076120B" w:rsidTr="001E3B5B">
        <w:trPr>
          <w:trHeight w:val="360"/>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8/1/2012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2.4</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0.8%</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8/22/2012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2.1</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0.9%</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9/12/2012</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2.0</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0.7%</w:t>
            </w:r>
          </w:p>
        </w:tc>
      </w:tr>
      <w:tr w:rsidR="002B5AC6" w:rsidRPr="0076120B" w:rsidTr="001E3B5B">
        <w:trPr>
          <w:trHeight w:val="360"/>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9</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8/28/2012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0.3</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0.1%</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10/1/2012</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2.6</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1.0%</w:t>
            </w:r>
          </w:p>
        </w:tc>
      </w:tr>
      <w:tr w:rsidR="002B5AC6" w:rsidRPr="0076120B" w:rsidTr="001E3B5B">
        <w:trPr>
          <w:trHeight w:val="360"/>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10</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9/14/2012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-3.9</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-1.6%</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r>
      <w:tr w:rsidR="002B5AC6" w:rsidRPr="0076120B" w:rsidTr="001E3B5B">
        <w:trPr>
          <w:trHeight w:val="360"/>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11</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9/17/2012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1.5</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0.6%</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r>
      <w:tr w:rsidR="002B5AC6" w:rsidRPr="0076120B" w:rsidTr="001E3B5B">
        <w:trPr>
          <w:trHeight w:val="360"/>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12</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9/19/2012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-3.3</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-1.4%</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r>
      <w:tr w:rsidR="002B5AC6" w:rsidRPr="0076120B" w:rsidTr="001E3B5B">
        <w:trPr>
          <w:trHeight w:val="360"/>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13</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9/21/2012</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0.0</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0.0%</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502446" w:rsidP="001E3B5B">
            <w:pPr>
              <w:pStyle w:val="TableText"/>
            </w:pPr>
            <w:r>
              <w:t>–</w:t>
            </w:r>
          </w:p>
        </w:tc>
      </w:tr>
      <w:tr w:rsidR="002B5AC6" w:rsidRPr="0076120B" w:rsidTr="001E3B5B">
        <w:trPr>
          <w:trHeight w:val="431"/>
        </w:trPr>
        <w:tc>
          <w:tcPr>
            <w:tcW w:w="443" w:type="pct"/>
            <w:tcBorders>
              <w:top w:val="nil"/>
              <w:left w:val="single" w:sz="4" w:space="0" w:color="auto"/>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Bias</w:t>
            </w:r>
          </w:p>
        </w:tc>
        <w:tc>
          <w:tcPr>
            <w:tcW w:w="650"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Avg. Event</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-1.6</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-0.6%</w:t>
            </w:r>
          </w:p>
        </w:tc>
        <w:tc>
          <w:tcPr>
            <w:tcW w:w="629"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Avg. Event</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-0.4</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-0.2%</w:t>
            </w:r>
          </w:p>
        </w:tc>
        <w:tc>
          <w:tcPr>
            <w:tcW w:w="618"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Avg. Event</w:t>
            </w:r>
          </w:p>
        </w:tc>
        <w:tc>
          <w:tcPr>
            <w:tcW w:w="444"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-2.0</w:t>
            </w:r>
          </w:p>
        </w:tc>
        <w:tc>
          <w:tcPr>
            <w:tcW w:w="443" w:type="pct"/>
            <w:tcBorders>
              <w:top w:val="nil"/>
              <w:left w:val="nil"/>
              <w:bottom w:val="single" w:sz="4" w:space="0" w:color="auto"/>
              <w:right w:val="single" w:sz="4" w:space="0" w:color="auto"/>
            </w:tcBorders>
            <w:shd w:val="clear" w:color="auto" w:fill="auto"/>
            <w:noWrap/>
            <w:vAlign w:val="center"/>
            <w:hideMark/>
          </w:tcPr>
          <w:p w:rsidR="002B5AC6" w:rsidRPr="004F0234" w:rsidRDefault="002B5AC6" w:rsidP="001E3B5B">
            <w:pPr>
              <w:pStyle w:val="TableText"/>
            </w:pPr>
            <w:r w:rsidRPr="004F0234">
              <w:t>-0.7%</w:t>
            </w:r>
          </w:p>
        </w:tc>
      </w:tr>
      <w:tr w:rsidR="002B5AC6" w:rsidRPr="0076120B" w:rsidTr="001E3B5B">
        <w:trPr>
          <w:trHeight w:val="449"/>
        </w:trPr>
        <w:tc>
          <w:tcPr>
            <w:tcW w:w="109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B5AC6" w:rsidRPr="004F0234" w:rsidRDefault="002B5AC6" w:rsidP="001E3B5B">
            <w:pPr>
              <w:pStyle w:val="TableText"/>
            </w:pPr>
            <w:r w:rsidRPr="004F0234">
              <w:t>Mean Absolute Percentage Error (MAPE)</w:t>
            </w:r>
          </w:p>
        </w:tc>
        <w:tc>
          <w:tcPr>
            <w:tcW w:w="887" w:type="pct"/>
            <w:gridSpan w:val="2"/>
            <w:tcBorders>
              <w:top w:val="single" w:sz="4" w:space="0" w:color="auto"/>
              <w:left w:val="nil"/>
              <w:bottom w:val="single" w:sz="4" w:space="0" w:color="auto"/>
              <w:right w:val="single" w:sz="4" w:space="0" w:color="auto"/>
            </w:tcBorders>
            <w:shd w:val="clear" w:color="auto" w:fill="auto"/>
            <w:vAlign w:val="center"/>
            <w:hideMark/>
          </w:tcPr>
          <w:p w:rsidR="002B5AC6" w:rsidRPr="004F0234" w:rsidRDefault="002B5AC6" w:rsidP="001E3B5B">
            <w:pPr>
              <w:pStyle w:val="TableText"/>
            </w:pPr>
            <w:r w:rsidRPr="004F0234">
              <w:t>1.1%</w:t>
            </w:r>
          </w:p>
        </w:tc>
        <w:tc>
          <w:tcPr>
            <w:tcW w:w="1516" w:type="pct"/>
            <w:gridSpan w:val="3"/>
            <w:tcBorders>
              <w:top w:val="single" w:sz="4" w:space="0" w:color="auto"/>
              <w:left w:val="nil"/>
              <w:bottom w:val="single" w:sz="4" w:space="0" w:color="auto"/>
              <w:right w:val="single" w:sz="4" w:space="0" w:color="auto"/>
            </w:tcBorders>
            <w:shd w:val="clear" w:color="auto" w:fill="auto"/>
            <w:vAlign w:val="center"/>
            <w:hideMark/>
          </w:tcPr>
          <w:p w:rsidR="002B5AC6" w:rsidRPr="004F0234" w:rsidRDefault="002B5AC6" w:rsidP="001E3B5B">
            <w:pPr>
              <w:pStyle w:val="TableText"/>
            </w:pPr>
            <w:r w:rsidRPr="004F0234">
              <w:t>0.8%</w:t>
            </w:r>
          </w:p>
        </w:tc>
        <w:tc>
          <w:tcPr>
            <w:tcW w:w="1505" w:type="pct"/>
            <w:gridSpan w:val="3"/>
            <w:tcBorders>
              <w:top w:val="single" w:sz="4" w:space="0" w:color="auto"/>
              <w:left w:val="nil"/>
              <w:bottom w:val="single" w:sz="4" w:space="0" w:color="auto"/>
              <w:right w:val="single" w:sz="4" w:space="0" w:color="auto"/>
            </w:tcBorders>
            <w:shd w:val="clear" w:color="auto" w:fill="auto"/>
            <w:vAlign w:val="center"/>
            <w:hideMark/>
          </w:tcPr>
          <w:p w:rsidR="002B5AC6" w:rsidRPr="004F0234" w:rsidRDefault="002B5AC6" w:rsidP="001E3B5B">
            <w:pPr>
              <w:pStyle w:val="TableText"/>
            </w:pPr>
            <w:r w:rsidRPr="004F0234">
              <w:t>1.4%</w:t>
            </w:r>
          </w:p>
        </w:tc>
      </w:tr>
      <w:tr w:rsidR="002B5AC6" w:rsidRPr="0076120B" w:rsidTr="001E3B5B">
        <w:trPr>
          <w:trHeight w:val="449"/>
        </w:trPr>
        <w:tc>
          <w:tcPr>
            <w:tcW w:w="109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2B5AC6" w:rsidRPr="004F0234" w:rsidRDefault="002B5AC6" w:rsidP="001E3B5B">
            <w:pPr>
              <w:pStyle w:val="TableText"/>
            </w:pPr>
            <w:r w:rsidRPr="004F0234">
              <w:t xml:space="preserve">Normalized </w:t>
            </w:r>
          </w:p>
          <w:p w:rsidR="002B5AC6" w:rsidRPr="004F0234" w:rsidRDefault="002B5AC6" w:rsidP="001E3B5B">
            <w:pPr>
              <w:pStyle w:val="TableText"/>
            </w:pPr>
            <w:r w:rsidRPr="004F0234">
              <w:t>RMSE</w:t>
            </w:r>
          </w:p>
          <w:p w:rsidR="002B5AC6" w:rsidRPr="004F0234" w:rsidRDefault="002B5AC6" w:rsidP="001E3B5B">
            <w:pPr>
              <w:pStyle w:val="TableText"/>
            </w:pPr>
            <w:r w:rsidRPr="004F0234">
              <w:t>(CV RMSE)</w:t>
            </w:r>
          </w:p>
        </w:tc>
        <w:tc>
          <w:tcPr>
            <w:tcW w:w="887" w:type="pct"/>
            <w:gridSpan w:val="2"/>
            <w:tcBorders>
              <w:top w:val="single" w:sz="4" w:space="0" w:color="auto"/>
              <w:left w:val="nil"/>
              <w:bottom w:val="single" w:sz="4" w:space="0" w:color="auto"/>
              <w:right w:val="single" w:sz="4" w:space="0" w:color="auto"/>
            </w:tcBorders>
            <w:shd w:val="clear" w:color="auto" w:fill="auto"/>
            <w:vAlign w:val="center"/>
          </w:tcPr>
          <w:p w:rsidR="002B5AC6" w:rsidRPr="004F0234" w:rsidRDefault="002B5AC6" w:rsidP="001E3B5B">
            <w:pPr>
              <w:pStyle w:val="TableText"/>
            </w:pPr>
            <w:r w:rsidRPr="004F0234">
              <w:t>1.3%</w:t>
            </w:r>
          </w:p>
        </w:tc>
        <w:tc>
          <w:tcPr>
            <w:tcW w:w="1516" w:type="pct"/>
            <w:gridSpan w:val="3"/>
            <w:tcBorders>
              <w:top w:val="single" w:sz="4" w:space="0" w:color="auto"/>
              <w:left w:val="nil"/>
              <w:bottom w:val="single" w:sz="4" w:space="0" w:color="auto"/>
              <w:right w:val="single" w:sz="4" w:space="0" w:color="auto"/>
            </w:tcBorders>
            <w:shd w:val="clear" w:color="auto" w:fill="auto"/>
            <w:vAlign w:val="center"/>
          </w:tcPr>
          <w:p w:rsidR="002B5AC6" w:rsidRPr="004F0234" w:rsidRDefault="002B5AC6" w:rsidP="001E3B5B">
            <w:pPr>
              <w:pStyle w:val="TableText"/>
            </w:pPr>
            <w:r w:rsidRPr="004F0234">
              <w:t>1.0%</w:t>
            </w:r>
          </w:p>
        </w:tc>
        <w:tc>
          <w:tcPr>
            <w:tcW w:w="1505" w:type="pct"/>
            <w:gridSpan w:val="3"/>
            <w:tcBorders>
              <w:top w:val="single" w:sz="4" w:space="0" w:color="auto"/>
              <w:left w:val="nil"/>
              <w:bottom w:val="single" w:sz="4" w:space="0" w:color="auto"/>
              <w:right w:val="single" w:sz="4" w:space="0" w:color="auto"/>
            </w:tcBorders>
            <w:shd w:val="clear" w:color="auto" w:fill="auto"/>
            <w:vAlign w:val="center"/>
          </w:tcPr>
          <w:p w:rsidR="002B5AC6" w:rsidRPr="004F0234" w:rsidRDefault="002B5AC6" w:rsidP="001E3B5B">
            <w:pPr>
              <w:pStyle w:val="TableText"/>
            </w:pPr>
            <w:r w:rsidRPr="004F0234">
              <w:t>1.6%</w:t>
            </w:r>
          </w:p>
        </w:tc>
      </w:tr>
    </w:tbl>
    <w:p w:rsidR="002B5AC6" w:rsidRDefault="002B5AC6" w:rsidP="002B5AC6">
      <w:pPr>
        <w:pStyle w:val="Heading2"/>
        <w:spacing w:before="360"/>
        <w:ind w:left="576" w:hanging="576"/>
      </w:pPr>
      <w:bookmarkStart w:id="64" w:name="_Toc352230570"/>
      <w:bookmarkStart w:id="65" w:name="_Toc351455154"/>
      <w:bookmarkStart w:id="66" w:name="_Toc352323629"/>
      <w:bookmarkEnd w:id="64"/>
      <w:bookmarkEnd w:id="45"/>
      <w:bookmarkEnd w:id="46"/>
      <w:r>
        <w:t>Ex Ante Impact Estimation Methodology</w:t>
      </w:r>
      <w:bookmarkEnd w:id="65"/>
      <w:bookmarkEnd w:id="66"/>
    </w:p>
    <w:p w:rsidR="002B5AC6" w:rsidRDefault="002B5AC6" w:rsidP="002B5AC6">
      <w:pPr>
        <w:pStyle w:val="BodyParagraph"/>
      </w:pPr>
      <w:r>
        <w:t xml:space="preserve">The main purpose of ex ante load impact estimates is to reflect the load reduction capability of a DR resource under a standard set of conditions that align with system planning.  Ex ante impact estimates factor in projected changes in enrollment, known policy decisions such as the implementation of default CPP for medium customers, and approved program changes.  </w:t>
      </w:r>
    </w:p>
    <w:p w:rsidR="002B5AC6" w:rsidRDefault="002B5AC6" w:rsidP="002B5AC6">
      <w:pPr>
        <w:pStyle w:val="BodyParagraph"/>
      </w:pPr>
      <w:r>
        <w:t xml:space="preserve">Whenever possible, ex ante load impacts are based on analysis of historical load impact performance.  It is preferable to base ex ante impacts on numerous ex post events over multiple years.  A broader perspective allows for a better assessment of overall performance and volatility in demand reductions.  It also can help determine whether factors such as weather affect percent demand reductions.  </w:t>
      </w:r>
      <w:r w:rsidRPr="00C21455">
        <w:t>Too few data points weaken</w:t>
      </w:r>
      <w:r>
        <w:t xml:space="preserve"> </w:t>
      </w:r>
      <w:r w:rsidRPr="00C21455">
        <w:t>the ability to produce reliab</w:t>
      </w:r>
      <w:r>
        <w:t>le</w:t>
      </w:r>
      <w:r w:rsidRPr="00C21455">
        <w:t xml:space="preserve"> estimates</w:t>
      </w:r>
      <w:r>
        <w:t xml:space="preserve"> and to </w:t>
      </w:r>
      <w:r w:rsidRPr="00C21455">
        <w:t>draw inferences about f</w:t>
      </w:r>
      <w:r>
        <w:t>actors that affect performance.</w:t>
      </w:r>
    </w:p>
    <w:p w:rsidR="002B5AC6" w:rsidRDefault="002B5AC6" w:rsidP="002B5AC6">
      <w:pPr>
        <w:pStyle w:val="BodyParagraph"/>
      </w:pPr>
      <w:r>
        <w:t xml:space="preserve">Two primary steps are required to produce ex ante estimates.  First, reference loads need to be estimated for monthly peak days with 1-in-2 and 1-in-10 weather year conditions.  By necessity, </w:t>
      </w:r>
      <w:r>
        <w:lastRenderedPageBreak/>
        <w:t xml:space="preserve">the development of reference loads relies on modeling electricity use and subsequently predicting electricity use for 1-in-2 and 1-in-10 weather year conditions.  For all three utilities, we relied on individual customer regression to produce estimates of the reference loads.  </w:t>
      </w:r>
      <w:r w:rsidRPr="00C32AE3">
        <w:t>Appendix C</w:t>
      </w:r>
      <w:r>
        <w:t xml:space="preserve"> details the models used to develop reference loads.  The second and more important step is to analyze variation and weather trends in load impacts, if any, observed over historical events.  In other words, a secondary analysis of historical event impacts is conducted.  The analysis of historical event performance can be challenging because different customers experience different events.  Some customers have a long history of event performance while other customers have a shorter history based on when they enrolled.  The secondary analysis of historical events can be done in one of two ways.  </w:t>
      </w:r>
    </w:p>
    <w:p w:rsidR="002B5AC6" w:rsidRDefault="002B5AC6" w:rsidP="002B5AC6">
      <w:pPr>
        <w:pStyle w:val="BodyParagraph"/>
      </w:pPr>
      <w:r>
        <w:t xml:space="preserve">One option is to analyze ex post load impacts developed using the same set of customers and events and a common technique across the historical period.  This approach ensures changes in demand reductions are not the artifact of changes in the customer mix over time or the artifact of changes in methodology.  It also permits multi-year ex post event impact estimates to rely on techniques such as difference-in-differences that make use of control groups and do not require extrapolating from cooler non-event days to hotter event days.  The main drawback to this approach is the fact that only a subset of customers has experienced numerous events over multiple years.  These customers may not be representative of the full participant population.  Typically, including more historical event performance data leads to bigger differences between the estimating sample and the full participant population.  A less than optimal fix is to base ex ante impacts on the analysis of fewer historical events.  </w:t>
      </w:r>
    </w:p>
    <w:p w:rsidR="002B5AC6" w:rsidRDefault="002B5AC6" w:rsidP="002B5AC6">
      <w:pPr>
        <w:pStyle w:val="BodyParagraph"/>
      </w:pPr>
      <w:r>
        <w:t xml:space="preserve">A second option is to analyze the event performance history unique to each customer.  If a single customer has experienced 27 events over 3 years and a second customer has experienced 5 events during a single year of enrollment, the performance and weather trend for each of these customers is assessed separately.  Under this option, ex ante estimates are produced individually and then aggregated.  This individualized approach must rely on individual customer regressions.  It cannot be done with control groups or aggregate results.  The primary benefit of this approach is that it uses all the event history unique to each participant and includes nearly all participants.  There are several drawbacks, however.  Individual customer results are typically noisy and unreliable for individual customers but can provide accurate results in aggregate.  Results from individual customer regressions also are highly dependent on accurately modeling electricity under different weather conditions.  These models cannot capture the numerous idiosyncrasies for specific days (e.g., the Monday after a holiday weekend or the first day of school).  The individualized approach can produce spurious results that are an artifact of the model selected (e.g., whether a linear, log, or quadratic relationship is assumed) or the inability to model all factors that affect electricity use.       </w:t>
      </w:r>
    </w:p>
    <w:p w:rsidR="002B5AC6" w:rsidRDefault="002B5AC6" w:rsidP="002B5AC6">
      <w:pPr>
        <w:pStyle w:val="BodyBeforeBullet"/>
      </w:pPr>
      <w:r>
        <w:t xml:space="preserve">For each utility, a detailed assessment of tradeoffs between the two options was conducted.  In specific, we:  </w:t>
      </w:r>
    </w:p>
    <w:p w:rsidR="002B5AC6" w:rsidRDefault="002B5AC6" w:rsidP="002B5AC6">
      <w:pPr>
        <w:pStyle w:val="Bullets"/>
      </w:pPr>
      <w:r>
        <w:t>Assessed what share of customers could be included in multi-year analysis that relied on the same set of customers and events;</w:t>
      </w:r>
    </w:p>
    <w:p w:rsidR="002B5AC6" w:rsidRDefault="002B5AC6" w:rsidP="002B5AC6">
      <w:pPr>
        <w:pStyle w:val="Bullets"/>
        <w:keepNext/>
      </w:pPr>
      <w:r>
        <w:lastRenderedPageBreak/>
        <w:t>Determined if the results from a difference-in-differences approach and individual customer regressions produced the same answer.  The comparison was made using the same set of customers and events.  It included a comparison of average event impacts and of the weather trends implicit in the ex post results</w:t>
      </w:r>
      <w:r w:rsidR="00874CA9">
        <w:t>; and</w:t>
      </w:r>
    </w:p>
    <w:p w:rsidR="002B5AC6" w:rsidRDefault="002B5AC6" w:rsidP="002B5AC6">
      <w:pPr>
        <w:pStyle w:val="BulletLast"/>
      </w:pPr>
      <w:r>
        <w:t xml:space="preserve">Conducted validation tests to assess if weather trends implied by individual customer regressions were accurate or an artifact of the underlying models. </w:t>
      </w:r>
    </w:p>
    <w:p w:rsidR="002B5AC6" w:rsidRDefault="002B5AC6" w:rsidP="002B5AC6">
      <w:pPr>
        <w:pStyle w:val="BodyParagraph"/>
      </w:pPr>
      <w:r>
        <w:t>Across all three utilities, only 50 to 70% of current CPP customers both had a complete multi-year history of participation on default CPP and a matched control group candidate.  For PG&amp;E and SCE, the secondary analysis yielded the same similar percent demand reductions and weather trends regardless of whether ex post impacts were estimated using the difference-in-differences approach or individual customer regressions.  While the average impacts were similar, individual customer regressions were less precise and had more estimation error for individual events.  The key benefit of relying on individual customer regressions is that a larger number of historical events can be used and ex ante impacts can be developed for nearly all current participants.  Both PG&amp;E’s and SCE’s ex ante impacts are based on ex post results for 2010, 2011 and 2012 events produced with individual customer regressions.  Ex ante impacts were based on up to 27 events for PG&amp;E customers; and up to 36 events for SCE customers.</w:t>
      </w:r>
    </w:p>
    <w:p w:rsidR="002B5AC6" w:rsidRDefault="002B5AC6" w:rsidP="002B5AC6">
      <w:pPr>
        <w:pStyle w:val="BodyParagraph"/>
      </w:pPr>
      <w:r>
        <w:t xml:space="preserve">For SDG&amp;E, the secondary analysis produced different answers depending on whether we analyzed historical event impacts produced with difference-in-differences or individual customer regressions. The multi-year individual customer regressions indicated percent demand reductions were highly sensitive to weather.  In contrast, the multi-year difference-in-differences load impacts indicated percent demand reductions were weather insensitive.  Upon further scrutiny, the high degree of weather sensitivity apparent in multi-year individual regression ex post results proved to be an artifact.  The same degree of weather sensitivity was present on proxy event days when higher CPP prices were not in effect.  </w:t>
      </w:r>
      <w:r w:rsidR="00B15979">
        <w:t>In other words</w:t>
      </w:r>
      <w:r>
        <w:t xml:space="preserve">, individual regressions produced inaccurate ex ante impacts for SDG&amp;E: the estimates were too high at hotter temperatures and too low for cooler temperatures. As a result, the demand reductions used to inform ex ante impacts are based on 2012 results produced using the difference-in-differences method.   </w:t>
      </w:r>
    </w:p>
    <w:p w:rsidR="002B5AC6" w:rsidRDefault="002B5AC6" w:rsidP="002B5AC6">
      <w:pPr>
        <w:pStyle w:val="BodyParagraph"/>
      </w:pPr>
      <w:r>
        <w:rPr>
          <w:rFonts w:cs="Arial"/>
          <w:szCs w:val="20"/>
        </w:rPr>
        <w:t>Besides the estimated demand reductions, a key driver of ex ante impacts is forecasted enrollment growth.  Future enrollments are highly uncertain.  I</w:t>
      </w:r>
      <w:r>
        <w:t xml:space="preserve">t is much easier to estimate load impacts under a standard set of conditions for existing customers than it is to do so for a new set of customers, particularly if they differ substantially from existing ones.  </w:t>
      </w:r>
    </w:p>
    <w:p w:rsidR="002B5AC6" w:rsidRDefault="002B5AC6" w:rsidP="002B5AC6">
      <w:pPr>
        <w:pStyle w:val="BodyParagraph"/>
      </w:pPr>
      <w:r>
        <w:t xml:space="preserve">The magnitude of ex ante impacts from medium customers under default dynamic pricing is far less certain than it is for large customers.  Outside of California, no utility in the U.S. has defaulted medium customers onto dynamic pricing tariffs.  Within California, several hundred of 250,000 existing medium customers have been defaulted onto CPP, mostly in SDG&amp;E, but it is necessary to account for substantial differences between them and the far larger population of medium customers scheduled to default onto CPP.  In contrast, large customers already have been defaulted and had multiple opportunities to opt-out of default CPP rates.  We know how many of these customers tried out default CPP, how much load reduction they provided during historical events, what types of customers are price responsive and their retention rates.  In addition, the large customer population is forecasted to remain relatively stable over the 10-year forecast horizon.  </w:t>
      </w:r>
    </w:p>
    <w:p w:rsidR="002B5AC6" w:rsidRDefault="002B5AC6" w:rsidP="002B5AC6">
      <w:pPr>
        <w:pStyle w:val="BodyParagraph"/>
      </w:pPr>
      <w:r>
        <w:lastRenderedPageBreak/>
        <w:t>Out of necessity, ex ante impacts for medium customers rely on large customers already defaulted onto CPP that are most similar to medium customers.  To obtain a larger and more diverse sample, all CPP customers with average hourly demand below 200 kW throughout the year (1,750 MWh or less) were combined with medium customers defaulted onto the CPP rate.</w:t>
      </w:r>
      <w:r>
        <w:rPr>
          <w:rStyle w:val="FootnoteReference"/>
        </w:rPr>
        <w:footnoteReference w:id="18"/>
      </w:r>
      <w:r>
        <w:t xml:space="preserve">  In other words, customers that are slightly above the large customer threshold were used as a proxy for medium customers.  Across all three utilities medium customer rates (20-200 Max kW) are very similar to the rates of customers in the next size category (200 to 500 Max kW).  For SDG&amp;E, the tariffs are identical.  In addition, there is substantial overlap in the electricity use patterns and industry mix between medium and large customers.  For each utility, we adjusted for differences in the industry mix between proxy medium customers and actual medium customers. </w:t>
      </w:r>
    </w:p>
    <w:p w:rsidR="002B5AC6" w:rsidRDefault="002B5AC6" w:rsidP="002B5AC6">
      <w:pPr>
        <w:pStyle w:val="BodyParagraph"/>
      </w:pPr>
      <w:r>
        <w:t xml:space="preserve">The main, untested assumption is that medium customers will deliver similar percent demand reductions by industry as the estimating sample of medium proxy customers.  Actual results could be substantially lower or higher than the point estimates.  Medium customers may deliver smaller percent demand reductions due to lower awareness rates and less familiarity with electric rates.  They could also deliver larger demand reductions.  Not all large customers were defaulted onto CPP rates.  Nearly half of the large customer loads at PG&amp;E and SCE were not default because they were already enrolled in DR programs such as aggregator programs and BIP.  Arguably, the most demand responsive customers were not defaulted onto CPP.  In contrast, relatively few medium customers have enrolled in other DR programs and, as a consequence, utilities are unlikely to exclude the most price responsive customers from defaulting onto CPP. </w:t>
      </w:r>
    </w:p>
    <w:p w:rsidR="00AD6E36" w:rsidRDefault="003762BD" w:rsidP="00056D0A">
      <w:pPr>
        <w:pStyle w:val="Heading1"/>
      </w:pPr>
      <w:bookmarkStart w:id="67" w:name="_Toc351455324"/>
      <w:bookmarkStart w:id="68" w:name="_Toc351462582"/>
      <w:bookmarkStart w:id="69" w:name="_Toc351469365"/>
      <w:bookmarkStart w:id="70" w:name="_Toc351480794"/>
      <w:bookmarkStart w:id="71" w:name="_Toc351455326"/>
      <w:bookmarkStart w:id="72" w:name="_Toc351462584"/>
      <w:bookmarkStart w:id="73" w:name="_Toc351469367"/>
      <w:bookmarkStart w:id="74" w:name="_Toc351480796"/>
      <w:bookmarkStart w:id="75" w:name="_Toc351455328"/>
      <w:bookmarkStart w:id="76" w:name="_Toc351462586"/>
      <w:bookmarkStart w:id="77" w:name="_Toc351469369"/>
      <w:bookmarkStart w:id="78" w:name="_Toc351480798"/>
      <w:bookmarkStart w:id="79" w:name="_Toc351455346"/>
      <w:bookmarkStart w:id="80" w:name="_Toc351462604"/>
      <w:bookmarkStart w:id="81" w:name="_Toc351469387"/>
      <w:bookmarkStart w:id="82" w:name="_Toc351480816"/>
      <w:bookmarkEnd w:id="67"/>
      <w:bookmarkEnd w:id="68"/>
      <w:bookmarkEnd w:id="69"/>
      <w:bookmarkEnd w:id="70"/>
      <w:bookmarkEnd w:id="47"/>
      <w:bookmarkEnd w:id="48"/>
      <w:bookmarkEnd w:id="71"/>
      <w:bookmarkEnd w:id="72"/>
      <w:bookmarkEnd w:id="73"/>
      <w:bookmarkEnd w:id="74"/>
      <w:bookmarkEnd w:id="75"/>
      <w:bookmarkEnd w:id="76"/>
      <w:bookmarkEnd w:id="77"/>
      <w:bookmarkEnd w:id="78"/>
      <w:bookmarkEnd w:id="79"/>
      <w:bookmarkEnd w:id="80"/>
      <w:bookmarkEnd w:id="81"/>
      <w:bookmarkEnd w:id="82"/>
      <w:r>
        <w:br w:type="column"/>
      </w:r>
      <w:bookmarkStart w:id="83" w:name="_Toc352323630"/>
      <w:r w:rsidR="00AD6E36">
        <w:lastRenderedPageBreak/>
        <w:t>PG&amp;E Ex Post Load Impact</w:t>
      </w:r>
      <w:r w:rsidR="00DA41F5">
        <w:t>s</w:t>
      </w:r>
      <w:bookmarkEnd w:id="83"/>
    </w:p>
    <w:p w:rsidR="00AD6E36" w:rsidRDefault="00AD6E36" w:rsidP="00AD6E36">
      <w:pPr>
        <w:pStyle w:val="BodyParagraph"/>
      </w:pPr>
      <w:r>
        <w:t>This section summarizes the ex post load impact evaluation for customers on PG&amp;E’s CPP tariff.  PG&amp;</w:t>
      </w:r>
      <w:r w:rsidR="007C0785">
        <w:t>E called nine CPP events in 2012</w:t>
      </w:r>
      <w:r>
        <w:t>.  The</w:t>
      </w:r>
      <w:r w:rsidR="007C0785">
        <w:t xml:space="preserve"> first event occurred on July 9</w:t>
      </w:r>
      <w:r>
        <w:t xml:space="preserve"> and t</w:t>
      </w:r>
      <w:r w:rsidR="007C0785">
        <w:t xml:space="preserve">he last was held on August 13.  The </w:t>
      </w:r>
      <w:r w:rsidR="00ED5724">
        <w:t xml:space="preserve">average </w:t>
      </w:r>
      <w:r w:rsidR="007C0785">
        <w:t xml:space="preserve">number of customers participating in the </w:t>
      </w:r>
      <w:r w:rsidR="0001340F">
        <w:t xml:space="preserve">9 </w:t>
      </w:r>
      <w:r w:rsidR="007C0785">
        <w:t xml:space="preserve">PG&amp;E CPP events </w:t>
      </w:r>
      <w:r w:rsidR="00A51E49">
        <w:t>wa</w:t>
      </w:r>
      <w:r w:rsidR="007C0785">
        <w:t>s 1,</w:t>
      </w:r>
      <w:r w:rsidR="00010384">
        <w:t>62</w:t>
      </w:r>
      <w:r w:rsidR="007C0785">
        <w:t xml:space="preserve">7.  There is event-to-event variation </w:t>
      </w:r>
      <w:r>
        <w:t xml:space="preserve">in the number of </w:t>
      </w:r>
      <w:r w:rsidR="007C0785">
        <w:t>participating customers</w:t>
      </w:r>
      <w:r w:rsidR="002947A7">
        <w:t xml:space="preserve"> due to </w:t>
      </w:r>
      <w:r>
        <w:t>customer churn</w:t>
      </w:r>
      <w:r w:rsidR="002947A7">
        <w:t>;</w:t>
      </w:r>
      <w:r w:rsidR="007C0785">
        <w:t xml:space="preserve"> </w:t>
      </w:r>
      <w:r>
        <w:t>some customers depart</w:t>
      </w:r>
      <w:r w:rsidR="007C0785">
        <w:t>ed and others enrolled in CPP during summer 2012.  The highest 2012 enrollment, 1,630 customers, occurred on the August 8 event</w:t>
      </w:r>
      <w:r w:rsidR="00A51E49">
        <w:t xml:space="preserve">.  </w:t>
      </w:r>
      <w:r w:rsidR="00AA7150">
        <w:t>T</w:t>
      </w:r>
      <w:r w:rsidR="007C0785">
        <w:t>he lowest enrollment, 1,</w:t>
      </w:r>
      <w:r w:rsidR="00010384">
        <w:t xml:space="preserve">623 </w:t>
      </w:r>
      <w:r w:rsidR="007C0785">
        <w:t xml:space="preserve">customers, occurred </w:t>
      </w:r>
      <w:r w:rsidR="007C0785">
        <w:t>on</w:t>
      </w:r>
      <w:r w:rsidR="0001340F">
        <w:t> </w:t>
      </w:r>
      <w:r w:rsidR="00010384">
        <w:t>the first 4 events in July</w:t>
      </w:r>
      <w:r w:rsidR="007C0785">
        <w:t>.</w:t>
      </w:r>
    </w:p>
    <w:p w:rsidR="00627B26" w:rsidRDefault="00AD6E36" w:rsidP="00627B26">
      <w:pPr>
        <w:pStyle w:val="BodyParagraph"/>
      </w:pPr>
      <w:r>
        <w:t xml:space="preserve">Table 4-1 shows the </w:t>
      </w:r>
      <w:r>
        <w:t>estimated ex post load impacts for each event day and f</w:t>
      </w:r>
      <w:r w:rsidR="002947A7">
        <w:t>or the average event day in 2012.  The participant-</w:t>
      </w:r>
      <w:r>
        <w:t>weighted aver</w:t>
      </w:r>
      <w:r w:rsidR="00F31629">
        <w:t xml:space="preserve">age temperature during the event </w:t>
      </w:r>
      <w:r>
        <w:t xml:space="preserve">period </w:t>
      </w:r>
      <w:r w:rsidR="00A51E49">
        <w:t>r</w:t>
      </w:r>
      <w:r w:rsidR="007F3E09">
        <w:t>anged from a low of 81.4</w:t>
      </w:r>
      <w:r>
        <w:rPr>
          <w:rFonts w:cs="Arial"/>
        </w:rPr>
        <w:t>°</w:t>
      </w:r>
      <w:r>
        <w:t>F</w:t>
      </w:r>
      <w:r w:rsidR="00F31629">
        <w:t xml:space="preserve"> to a high of 90</w:t>
      </w:r>
      <w:r w:rsidR="007F3E09">
        <w:t>.2</w:t>
      </w:r>
      <w:r>
        <w:rPr>
          <w:rFonts w:cs="Arial"/>
        </w:rPr>
        <w:t>°</w:t>
      </w:r>
      <w:r>
        <w:t xml:space="preserve">F.  Percent impacts range from </w:t>
      </w:r>
      <w:r w:rsidR="007F3E09">
        <w:t>4.7</w:t>
      </w:r>
      <w:r>
        <w:t xml:space="preserve">% to </w:t>
      </w:r>
      <w:r w:rsidR="007F3E09">
        <w:t>9.4</w:t>
      </w:r>
      <w:r>
        <w:t xml:space="preserve">%, average impacts range from </w:t>
      </w:r>
      <w:r w:rsidR="007F3E09">
        <w:t>12.9</w:t>
      </w:r>
      <w:r>
        <w:t xml:space="preserve"> kW to </w:t>
      </w:r>
      <w:r w:rsidR="007F3E09">
        <w:t>25.</w:t>
      </w:r>
      <w:r w:rsidR="00010384">
        <w:t>4</w:t>
      </w:r>
      <w:r>
        <w:t xml:space="preserve">kW and aggregate impacts range from </w:t>
      </w:r>
      <w:r w:rsidR="00010384">
        <w:t>21</w:t>
      </w:r>
      <w:r w:rsidR="007F3E09">
        <w:t>.</w:t>
      </w:r>
      <w:r w:rsidR="00010384">
        <w:t>0</w:t>
      </w:r>
      <w:r>
        <w:t xml:space="preserve"> MW to </w:t>
      </w:r>
      <w:r w:rsidR="007F3E09">
        <w:t>4</w:t>
      </w:r>
      <w:r w:rsidR="00010384">
        <w:t>1</w:t>
      </w:r>
      <w:r w:rsidR="007F3E09">
        <w:t>.</w:t>
      </w:r>
      <w:r w:rsidR="00010384">
        <w:t>2</w:t>
      </w:r>
      <w:r w:rsidR="00267644">
        <w:t xml:space="preserve"> </w:t>
      </w:r>
      <w:r>
        <w:t>MW.  On the average event day, the average participant reduced peak period load by</w:t>
      </w:r>
      <w:r w:rsidR="00267644">
        <w:t xml:space="preserve"> </w:t>
      </w:r>
      <w:r w:rsidR="007F3E09">
        <w:t>6.9</w:t>
      </w:r>
      <w:r>
        <w:t xml:space="preserve">%, or </w:t>
      </w:r>
      <w:r w:rsidR="007F3E09">
        <w:t>18.5</w:t>
      </w:r>
      <w:r>
        <w:t xml:space="preserve"> kW.  In aggregate, PG&amp;E’s CPP customers reduced load by </w:t>
      </w:r>
      <w:r w:rsidR="007F3E09">
        <w:t>29.3</w:t>
      </w:r>
      <w:r>
        <w:t xml:space="preserve"> MW on average ac</w:t>
      </w:r>
      <w:r w:rsidR="00267644">
        <w:t xml:space="preserve">ross the nine event </w:t>
      </w:r>
      <w:r w:rsidR="00267644">
        <w:t>days in</w:t>
      </w:r>
      <w:r w:rsidR="00AA7150">
        <w:t> </w:t>
      </w:r>
      <w:r w:rsidR="00267644">
        <w:t>2012</w:t>
      </w:r>
      <w:r>
        <w:t>.</w:t>
      </w:r>
    </w:p>
    <w:p w:rsidR="00627B26" w:rsidRDefault="00627B26" w:rsidP="00056D0A">
      <w:pPr>
        <w:pStyle w:val="TableFigureCaption"/>
      </w:pPr>
      <w:r w:rsidRPr="00627B26">
        <w:t>Table 4-1: Estimated Ex Post Load Impacts by Event Day</w:t>
      </w:r>
      <w:r w:rsidR="00056D0A">
        <w:br/>
      </w:r>
      <w:r w:rsidRPr="00627B26">
        <w:t>2012 PG&amp;E CPP Events</w:t>
      </w:r>
    </w:p>
    <w:tbl>
      <w:tblPr>
        <w:tblW w:w="0" w:type="auto"/>
        <w:tblLayout w:type="fixed"/>
        <w:tblLook w:val="04A0" w:firstRow="1" w:lastRow="0" w:firstColumn="1" w:lastColumn="0" w:noHBand="0" w:noVBand="1"/>
      </w:tblPr>
      <w:tblGrid>
        <w:gridCol w:w="946"/>
        <w:gridCol w:w="946"/>
        <w:gridCol w:w="946"/>
        <w:gridCol w:w="957"/>
        <w:gridCol w:w="946"/>
        <w:gridCol w:w="946"/>
        <w:gridCol w:w="977"/>
        <w:gridCol w:w="1003"/>
        <w:gridCol w:w="862"/>
        <w:gridCol w:w="917"/>
      </w:tblGrid>
      <w:tr w:rsidR="00010384" w:rsidRPr="00010384" w:rsidTr="00010384">
        <w:trPr>
          <w:trHeight w:val="1200"/>
        </w:trPr>
        <w:tc>
          <w:tcPr>
            <w:tcW w:w="946" w:type="dxa"/>
            <w:vMerge w:val="restart"/>
            <w:tcBorders>
              <w:top w:val="single" w:sz="4" w:space="0" w:color="auto"/>
              <w:left w:val="single" w:sz="4" w:space="0" w:color="auto"/>
              <w:bottom w:val="single" w:sz="4" w:space="0" w:color="000000"/>
              <w:right w:val="single" w:sz="4" w:space="0" w:color="FFFFFF"/>
            </w:tcBorders>
            <w:shd w:val="clear" w:color="000000" w:fill="1F497D"/>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FFFFFF"/>
                <w:sz w:val="18"/>
                <w:szCs w:val="18"/>
              </w:rPr>
            </w:pPr>
            <w:r w:rsidRPr="00010384">
              <w:rPr>
                <w:rFonts w:ascii="Arial" w:eastAsia="Times New Roman" w:hAnsi="Arial" w:cs="Arial"/>
                <w:b/>
                <w:bCs/>
                <w:color w:val="FFFFFF"/>
                <w:sz w:val="18"/>
                <w:szCs w:val="18"/>
              </w:rPr>
              <w:t>Event Date</w:t>
            </w:r>
          </w:p>
        </w:tc>
        <w:tc>
          <w:tcPr>
            <w:tcW w:w="946" w:type="dxa"/>
            <w:vMerge w:val="restart"/>
            <w:tcBorders>
              <w:top w:val="single" w:sz="4" w:space="0" w:color="auto"/>
              <w:left w:val="single" w:sz="4" w:space="0" w:color="FFFFFF"/>
              <w:bottom w:val="single" w:sz="4" w:space="0" w:color="000000"/>
              <w:right w:val="single" w:sz="4" w:space="0" w:color="FFFFFF"/>
            </w:tcBorders>
            <w:shd w:val="clear" w:color="000000" w:fill="1F497D"/>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FFFFFF"/>
                <w:sz w:val="18"/>
                <w:szCs w:val="18"/>
              </w:rPr>
            </w:pPr>
            <w:r w:rsidRPr="00010384">
              <w:rPr>
                <w:rFonts w:ascii="Arial" w:eastAsia="Times New Roman" w:hAnsi="Arial" w:cs="Arial"/>
                <w:b/>
                <w:bCs/>
                <w:color w:val="FFFFFF"/>
                <w:sz w:val="18"/>
                <w:szCs w:val="18"/>
              </w:rPr>
              <w:t>Day of Week</w:t>
            </w:r>
          </w:p>
        </w:tc>
        <w:tc>
          <w:tcPr>
            <w:tcW w:w="946" w:type="dxa"/>
            <w:vMerge w:val="restart"/>
            <w:tcBorders>
              <w:top w:val="single" w:sz="4" w:space="0" w:color="auto"/>
              <w:left w:val="single" w:sz="4" w:space="0" w:color="FFFFFF"/>
              <w:bottom w:val="single" w:sz="4" w:space="0" w:color="000000"/>
              <w:right w:val="single" w:sz="4" w:space="0" w:color="FFFFFF"/>
            </w:tcBorders>
            <w:shd w:val="clear" w:color="000000" w:fill="1F497D"/>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FFFFFF"/>
                <w:sz w:val="18"/>
                <w:szCs w:val="18"/>
              </w:rPr>
            </w:pPr>
            <w:r w:rsidRPr="00010384">
              <w:rPr>
                <w:rFonts w:ascii="Arial" w:eastAsia="Times New Roman" w:hAnsi="Arial" w:cs="Arial"/>
                <w:b/>
                <w:bCs/>
                <w:color w:val="FFFFFF"/>
                <w:sz w:val="18"/>
                <w:szCs w:val="18"/>
              </w:rPr>
              <w:t>Accounts</w:t>
            </w:r>
          </w:p>
        </w:tc>
        <w:tc>
          <w:tcPr>
            <w:tcW w:w="957" w:type="dxa"/>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FFFFFF"/>
                <w:sz w:val="18"/>
                <w:szCs w:val="18"/>
              </w:rPr>
            </w:pPr>
            <w:r w:rsidRPr="00010384">
              <w:rPr>
                <w:rFonts w:ascii="Arial" w:eastAsia="Times New Roman" w:hAnsi="Arial" w:cs="Arial"/>
                <w:b/>
                <w:bCs/>
                <w:color w:val="FFFFFF"/>
                <w:sz w:val="18"/>
                <w:szCs w:val="18"/>
              </w:rPr>
              <w:t>Avg. Customer Reference Load</w:t>
            </w:r>
          </w:p>
        </w:tc>
        <w:tc>
          <w:tcPr>
            <w:tcW w:w="946" w:type="dxa"/>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FFFFFF"/>
                <w:sz w:val="18"/>
                <w:szCs w:val="18"/>
              </w:rPr>
            </w:pPr>
            <w:r w:rsidRPr="00010384">
              <w:rPr>
                <w:rFonts w:ascii="Arial" w:eastAsia="Times New Roman" w:hAnsi="Arial" w:cs="Arial"/>
                <w:b/>
                <w:bCs/>
                <w:color w:val="FFFFFF"/>
                <w:sz w:val="18"/>
                <w:szCs w:val="18"/>
              </w:rPr>
              <w:t>Avg. Customer Load w/ DR</w:t>
            </w:r>
          </w:p>
        </w:tc>
        <w:tc>
          <w:tcPr>
            <w:tcW w:w="946" w:type="dxa"/>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FFFFFF"/>
                <w:sz w:val="18"/>
                <w:szCs w:val="18"/>
              </w:rPr>
            </w:pPr>
            <w:r w:rsidRPr="00010384">
              <w:rPr>
                <w:rFonts w:ascii="Arial" w:eastAsia="Times New Roman" w:hAnsi="Arial" w:cs="Arial"/>
                <w:b/>
                <w:bCs/>
                <w:color w:val="FFFFFF"/>
                <w:sz w:val="18"/>
                <w:szCs w:val="18"/>
              </w:rPr>
              <w:t>Impact</w:t>
            </w:r>
          </w:p>
        </w:tc>
        <w:tc>
          <w:tcPr>
            <w:tcW w:w="977" w:type="dxa"/>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FFFFFF"/>
                <w:sz w:val="18"/>
                <w:szCs w:val="18"/>
              </w:rPr>
            </w:pPr>
            <w:r w:rsidRPr="00010384">
              <w:rPr>
                <w:rFonts w:ascii="Arial" w:eastAsia="Times New Roman" w:hAnsi="Arial" w:cs="Arial"/>
                <w:b/>
                <w:bCs/>
                <w:color w:val="FFFFFF"/>
                <w:sz w:val="18"/>
                <w:szCs w:val="18"/>
              </w:rPr>
              <w:t>Aggregate Impact</w:t>
            </w:r>
          </w:p>
        </w:tc>
        <w:tc>
          <w:tcPr>
            <w:tcW w:w="1003" w:type="dxa"/>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FFFFFF"/>
                <w:sz w:val="18"/>
                <w:szCs w:val="18"/>
              </w:rPr>
            </w:pPr>
            <w:r w:rsidRPr="00010384">
              <w:rPr>
                <w:rFonts w:ascii="Arial" w:eastAsia="Times New Roman" w:hAnsi="Arial" w:cs="Arial"/>
                <w:b/>
                <w:bCs/>
                <w:color w:val="FFFFFF"/>
                <w:sz w:val="18"/>
                <w:szCs w:val="18"/>
              </w:rPr>
              <w:t>% Reduction</w:t>
            </w:r>
          </w:p>
        </w:tc>
        <w:tc>
          <w:tcPr>
            <w:tcW w:w="862" w:type="dxa"/>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FFFFFF"/>
                <w:sz w:val="18"/>
                <w:szCs w:val="18"/>
              </w:rPr>
            </w:pPr>
            <w:r w:rsidRPr="00010384">
              <w:rPr>
                <w:rFonts w:ascii="Arial" w:eastAsia="Times New Roman" w:hAnsi="Arial" w:cs="Arial"/>
                <w:b/>
                <w:bCs/>
                <w:color w:val="FFFFFF"/>
                <w:sz w:val="18"/>
                <w:szCs w:val="18"/>
              </w:rPr>
              <w:t>Avg. Temp.</w:t>
            </w:r>
          </w:p>
        </w:tc>
        <w:tc>
          <w:tcPr>
            <w:tcW w:w="917" w:type="dxa"/>
            <w:tcBorders>
              <w:top w:val="single" w:sz="4" w:space="0" w:color="auto"/>
              <w:left w:val="nil"/>
              <w:bottom w:val="single" w:sz="4" w:space="0" w:color="FFFFFF"/>
              <w:right w:val="single" w:sz="4" w:space="0" w:color="auto"/>
            </w:tcBorders>
            <w:shd w:val="clear" w:color="000000" w:fill="1F497D"/>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FFFFFF"/>
                <w:sz w:val="18"/>
                <w:szCs w:val="18"/>
              </w:rPr>
            </w:pPr>
            <w:r w:rsidRPr="00010384">
              <w:rPr>
                <w:rFonts w:ascii="Arial" w:eastAsia="Times New Roman" w:hAnsi="Arial" w:cs="Arial"/>
                <w:b/>
                <w:bCs/>
                <w:color w:val="FFFFFF"/>
                <w:sz w:val="18"/>
                <w:szCs w:val="18"/>
              </w:rPr>
              <w:t>Daily Maximum Temp.</w:t>
            </w:r>
          </w:p>
        </w:tc>
      </w:tr>
      <w:tr w:rsidR="00010384" w:rsidRPr="00010384" w:rsidTr="00010384">
        <w:trPr>
          <w:trHeight w:val="360"/>
        </w:trPr>
        <w:tc>
          <w:tcPr>
            <w:tcW w:w="946" w:type="dxa"/>
            <w:vMerge/>
            <w:tcBorders>
              <w:top w:val="single" w:sz="4" w:space="0" w:color="auto"/>
              <w:left w:val="single" w:sz="4" w:space="0" w:color="auto"/>
              <w:bottom w:val="single" w:sz="4" w:space="0" w:color="000000"/>
              <w:right w:val="single" w:sz="4" w:space="0" w:color="FFFFFF"/>
            </w:tcBorders>
            <w:tcMar>
              <w:left w:w="43" w:type="dxa"/>
              <w:right w:w="43" w:type="dxa"/>
            </w:tcMar>
            <w:vAlign w:val="center"/>
            <w:hideMark/>
          </w:tcPr>
          <w:p w:rsidR="00010384" w:rsidRPr="00010384" w:rsidRDefault="00010384" w:rsidP="00010384">
            <w:pPr>
              <w:spacing w:after="0" w:line="240" w:lineRule="auto"/>
              <w:rPr>
                <w:rFonts w:ascii="Arial" w:eastAsia="Times New Roman" w:hAnsi="Arial" w:cs="Arial"/>
                <w:b/>
                <w:bCs/>
                <w:color w:val="FFFFFF"/>
                <w:sz w:val="18"/>
                <w:szCs w:val="18"/>
              </w:rPr>
            </w:pPr>
          </w:p>
        </w:tc>
        <w:tc>
          <w:tcPr>
            <w:tcW w:w="946" w:type="dxa"/>
            <w:vMerge/>
            <w:tcBorders>
              <w:top w:val="single" w:sz="4" w:space="0" w:color="auto"/>
              <w:left w:val="single" w:sz="4" w:space="0" w:color="FFFFFF"/>
              <w:bottom w:val="single" w:sz="4" w:space="0" w:color="000000"/>
              <w:right w:val="single" w:sz="4" w:space="0" w:color="FFFFFF"/>
            </w:tcBorders>
            <w:tcMar>
              <w:left w:w="43" w:type="dxa"/>
              <w:right w:w="43" w:type="dxa"/>
            </w:tcMar>
            <w:vAlign w:val="center"/>
            <w:hideMark/>
          </w:tcPr>
          <w:p w:rsidR="00010384" w:rsidRPr="00010384" w:rsidRDefault="00010384" w:rsidP="00010384">
            <w:pPr>
              <w:spacing w:after="0" w:line="240" w:lineRule="auto"/>
              <w:rPr>
                <w:rFonts w:ascii="Arial" w:eastAsia="Times New Roman" w:hAnsi="Arial" w:cs="Arial"/>
                <w:b/>
                <w:bCs/>
                <w:color w:val="FFFFFF"/>
                <w:sz w:val="18"/>
                <w:szCs w:val="18"/>
              </w:rPr>
            </w:pPr>
          </w:p>
        </w:tc>
        <w:tc>
          <w:tcPr>
            <w:tcW w:w="946" w:type="dxa"/>
            <w:vMerge/>
            <w:tcBorders>
              <w:top w:val="single" w:sz="4" w:space="0" w:color="auto"/>
              <w:left w:val="single" w:sz="4" w:space="0" w:color="FFFFFF"/>
              <w:bottom w:val="single" w:sz="4" w:space="0" w:color="000000"/>
              <w:right w:val="single" w:sz="4" w:space="0" w:color="FFFFFF"/>
            </w:tcBorders>
            <w:tcMar>
              <w:left w:w="43" w:type="dxa"/>
              <w:right w:w="43" w:type="dxa"/>
            </w:tcMar>
            <w:vAlign w:val="center"/>
            <w:hideMark/>
          </w:tcPr>
          <w:p w:rsidR="00010384" w:rsidRPr="00010384" w:rsidRDefault="00010384" w:rsidP="00010384">
            <w:pPr>
              <w:spacing w:after="0" w:line="240" w:lineRule="auto"/>
              <w:rPr>
                <w:rFonts w:ascii="Arial" w:eastAsia="Times New Roman" w:hAnsi="Arial" w:cs="Arial"/>
                <w:b/>
                <w:bCs/>
                <w:color w:val="FFFFFF"/>
                <w:sz w:val="18"/>
                <w:szCs w:val="18"/>
              </w:rPr>
            </w:pPr>
          </w:p>
        </w:tc>
        <w:tc>
          <w:tcPr>
            <w:tcW w:w="957" w:type="dxa"/>
            <w:tcBorders>
              <w:top w:val="nil"/>
              <w:left w:val="nil"/>
              <w:bottom w:val="single" w:sz="4" w:space="0" w:color="auto"/>
              <w:right w:val="single" w:sz="4" w:space="0" w:color="FFFFFF"/>
            </w:tcBorders>
            <w:shd w:val="clear" w:color="000000" w:fill="1F497D"/>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FFFFFF"/>
                <w:sz w:val="18"/>
                <w:szCs w:val="18"/>
              </w:rPr>
            </w:pPr>
            <w:r w:rsidRPr="00010384">
              <w:rPr>
                <w:rFonts w:ascii="Arial" w:eastAsia="Times New Roman" w:hAnsi="Arial" w:cs="Arial"/>
                <w:color w:val="FFFFFF"/>
                <w:sz w:val="18"/>
                <w:szCs w:val="18"/>
              </w:rPr>
              <w:t>(kW)</w:t>
            </w:r>
          </w:p>
        </w:tc>
        <w:tc>
          <w:tcPr>
            <w:tcW w:w="946" w:type="dxa"/>
            <w:tcBorders>
              <w:top w:val="nil"/>
              <w:left w:val="nil"/>
              <w:bottom w:val="single" w:sz="4" w:space="0" w:color="auto"/>
              <w:right w:val="single" w:sz="4" w:space="0" w:color="FFFFFF"/>
            </w:tcBorders>
            <w:shd w:val="clear" w:color="000000" w:fill="1F497D"/>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FFFFFF"/>
                <w:sz w:val="18"/>
                <w:szCs w:val="18"/>
              </w:rPr>
            </w:pPr>
            <w:r w:rsidRPr="00010384">
              <w:rPr>
                <w:rFonts w:ascii="Arial" w:eastAsia="Times New Roman" w:hAnsi="Arial" w:cs="Arial"/>
                <w:color w:val="FFFFFF"/>
                <w:sz w:val="18"/>
                <w:szCs w:val="18"/>
              </w:rPr>
              <w:t>(kW)</w:t>
            </w:r>
          </w:p>
        </w:tc>
        <w:tc>
          <w:tcPr>
            <w:tcW w:w="946" w:type="dxa"/>
            <w:tcBorders>
              <w:top w:val="nil"/>
              <w:left w:val="nil"/>
              <w:bottom w:val="single" w:sz="4" w:space="0" w:color="auto"/>
              <w:right w:val="single" w:sz="4" w:space="0" w:color="FFFFFF"/>
            </w:tcBorders>
            <w:shd w:val="clear" w:color="000000" w:fill="1F497D"/>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FFFFFF"/>
                <w:sz w:val="18"/>
                <w:szCs w:val="18"/>
              </w:rPr>
            </w:pPr>
            <w:r w:rsidRPr="00010384">
              <w:rPr>
                <w:rFonts w:ascii="Arial" w:eastAsia="Times New Roman" w:hAnsi="Arial" w:cs="Arial"/>
                <w:color w:val="FFFFFF"/>
                <w:sz w:val="18"/>
                <w:szCs w:val="18"/>
              </w:rPr>
              <w:t>(kW)</w:t>
            </w:r>
          </w:p>
        </w:tc>
        <w:tc>
          <w:tcPr>
            <w:tcW w:w="977" w:type="dxa"/>
            <w:tcBorders>
              <w:top w:val="nil"/>
              <w:left w:val="nil"/>
              <w:bottom w:val="single" w:sz="4" w:space="0" w:color="auto"/>
              <w:right w:val="single" w:sz="4" w:space="0" w:color="FFFFFF"/>
            </w:tcBorders>
            <w:shd w:val="clear" w:color="000000" w:fill="1F497D"/>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FFFFFF"/>
                <w:sz w:val="18"/>
                <w:szCs w:val="18"/>
              </w:rPr>
            </w:pPr>
            <w:r w:rsidRPr="00010384">
              <w:rPr>
                <w:rFonts w:ascii="Arial" w:eastAsia="Times New Roman" w:hAnsi="Arial" w:cs="Arial"/>
                <w:color w:val="FFFFFF"/>
                <w:sz w:val="18"/>
                <w:szCs w:val="18"/>
              </w:rPr>
              <w:t>(MW)</w:t>
            </w:r>
          </w:p>
        </w:tc>
        <w:tc>
          <w:tcPr>
            <w:tcW w:w="1003" w:type="dxa"/>
            <w:tcBorders>
              <w:top w:val="nil"/>
              <w:left w:val="nil"/>
              <w:bottom w:val="single" w:sz="4" w:space="0" w:color="auto"/>
              <w:right w:val="single" w:sz="4" w:space="0" w:color="FFFFFF"/>
            </w:tcBorders>
            <w:shd w:val="clear" w:color="000000" w:fill="1F497D"/>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FFFFFF"/>
                <w:sz w:val="18"/>
                <w:szCs w:val="18"/>
              </w:rPr>
            </w:pPr>
            <w:r w:rsidRPr="00010384">
              <w:rPr>
                <w:rFonts w:ascii="Arial" w:eastAsia="Times New Roman" w:hAnsi="Arial" w:cs="Arial"/>
                <w:color w:val="FFFFFF"/>
                <w:sz w:val="18"/>
                <w:szCs w:val="18"/>
              </w:rPr>
              <w:t>%</w:t>
            </w:r>
          </w:p>
        </w:tc>
        <w:tc>
          <w:tcPr>
            <w:tcW w:w="862" w:type="dxa"/>
            <w:tcBorders>
              <w:top w:val="nil"/>
              <w:left w:val="nil"/>
              <w:bottom w:val="single" w:sz="4" w:space="0" w:color="auto"/>
              <w:right w:val="single" w:sz="4" w:space="0" w:color="FFFFFF"/>
            </w:tcBorders>
            <w:shd w:val="clear" w:color="000000" w:fill="1F497D"/>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FFFFFF"/>
                <w:sz w:val="18"/>
                <w:szCs w:val="18"/>
              </w:rPr>
            </w:pPr>
            <w:r w:rsidRPr="00010384">
              <w:rPr>
                <w:rFonts w:ascii="Arial" w:eastAsia="Times New Roman" w:hAnsi="Arial" w:cs="Arial"/>
                <w:color w:val="FFFFFF"/>
                <w:sz w:val="18"/>
                <w:szCs w:val="18"/>
              </w:rPr>
              <w:t>°F</w:t>
            </w:r>
          </w:p>
        </w:tc>
        <w:tc>
          <w:tcPr>
            <w:tcW w:w="917" w:type="dxa"/>
            <w:tcBorders>
              <w:top w:val="nil"/>
              <w:left w:val="nil"/>
              <w:bottom w:val="single" w:sz="4" w:space="0" w:color="auto"/>
              <w:right w:val="single" w:sz="4" w:space="0" w:color="auto"/>
            </w:tcBorders>
            <w:shd w:val="clear" w:color="000000" w:fill="1F497D"/>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FFFFFF"/>
                <w:sz w:val="18"/>
                <w:szCs w:val="18"/>
              </w:rPr>
            </w:pPr>
            <w:r w:rsidRPr="00010384">
              <w:rPr>
                <w:rFonts w:ascii="Arial" w:eastAsia="Times New Roman" w:hAnsi="Arial" w:cs="Arial"/>
                <w:color w:val="FFFFFF"/>
                <w:sz w:val="18"/>
                <w:szCs w:val="18"/>
              </w:rPr>
              <w:t>°F</w:t>
            </w:r>
          </w:p>
        </w:tc>
      </w:tr>
      <w:tr w:rsidR="00010384" w:rsidRPr="00010384" w:rsidTr="00010384">
        <w:trPr>
          <w:trHeight w:val="360"/>
        </w:trPr>
        <w:tc>
          <w:tcPr>
            <w:tcW w:w="94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7/9/2012</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Mon</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1,623</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255.0</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232.8</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22.2</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36.0</w:t>
            </w:r>
          </w:p>
        </w:tc>
        <w:tc>
          <w:tcPr>
            <w:tcW w:w="10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8.7%</w:t>
            </w:r>
          </w:p>
        </w:tc>
        <w:tc>
          <w:tcPr>
            <w:tcW w:w="86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81.4</w:t>
            </w:r>
          </w:p>
        </w:tc>
        <w:tc>
          <w:tcPr>
            <w:tcW w:w="91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96.3</w:t>
            </w:r>
          </w:p>
        </w:tc>
      </w:tr>
      <w:tr w:rsidR="00010384" w:rsidRPr="00010384" w:rsidTr="00010384">
        <w:trPr>
          <w:trHeight w:val="360"/>
        </w:trPr>
        <w:tc>
          <w:tcPr>
            <w:tcW w:w="94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7/10/2012</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Tue</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1,623</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271.1</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245.8</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25.4</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41.2</w:t>
            </w:r>
          </w:p>
        </w:tc>
        <w:tc>
          <w:tcPr>
            <w:tcW w:w="10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9.4%</w:t>
            </w:r>
          </w:p>
        </w:tc>
        <w:tc>
          <w:tcPr>
            <w:tcW w:w="86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88.6</w:t>
            </w:r>
          </w:p>
        </w:tc>
        <w:tc>
          <w:tcPr>
            <w:tcW w:w="91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99.9</w:t>
            </w:r>
          </w:p>
        </w:tc>
      </w:tr>
      <w:tr w:rsidR="00010384" w:rsidRPr="00010384" w:rsidTr="00010384">
        <w:trPr>
          <w:trHeight w:val="360"/>
        </w:trPr>
        <w:tc>
          <w:tcPr>
            <w:tcW w:w="94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7/11/2012</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Wed</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1,623</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268.9</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250.7</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18.2</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29.5</w:t>
            </w:r>
          </w:p>
        </w:tc>
        <w:tc>
          <w:tcPr>
            <w:tcW w:w="10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6.8%</w:t>
            </w:r>
          </w:p>
        </w:tc>
        <w:tc>
          <w:tcPr>
            <w:tcW w:w="86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90.2</w:t>
            </w:r>
          </w:p>
        </w:tc>
        <w:tc>
          <w:tcPr>
            <w:tcW w:w="91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103.0</w:t>
            </w:r>
          </w:p>
        </w:tc>
      </w:tr>
      <w:tr w:rsidR="00010384" w:rsidRPr="00010384" w:rsidTr="00010384">
        <w:trPr>
          <w:trHeight w:val="360"/>
        </w:trPr>
        <w:tc>
          <w:tcPr>
            <w:tcW w:w="94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7/12/2012</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Thu</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1,623</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265.1</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249.0</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16.1</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26.1</w:t>
            </w:r>
          </w:p>
        </w:tc>
        <w:tc>
          <w:tcPr>
            <w:tcW w:w="10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6.1%</w:t>
            </w:r>
          </w:p>
        </w:tc>
        <w:tc>
          <w:tcPr>
            <w:tcW w:w="86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86.0</w:t>
            </w:r>
          </w:p>
        </w:tc>
        <w:tc>
          <w:tcPr>
            <w:tcW w:w="91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102.3</w:t>
            </w:r>
          </w:p>
        </w:tc>
      </w:tr>
      <w:tr w:rsidR="00010384" w:rsidRPr="00010384" w:rsidTr="00010384">
        <w:trPr>
          <w:trHeight w:val="360"/>
        </w:trPr>
        <w:tc>
          <w:tcPr>
            <w:tcW w:w="94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8/2/2012</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Thu</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1,629</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260.6</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247.7</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12.9</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21.0</w:t>
            </w:r>
          </w:p>
        </w:tc>
        <w:tc>
          <w:tcPr>
            <w:tcW w:w="10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4.9%</w:t>
            </w:r>
          </w:p>
        </w:tc>
        <w:tc>
          <w:tcPr>
            <w:tcW w:w="86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85.7</w:t>
            </w:r>
          </w:p>
        </w:tc>
        <w:tc>
          <w:tcPr>
            <w:tcW w:w="91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99.8</w:t>
            </w:r>
          </w:p>
        </w:tc>
      </w:tr>
      <w:tr w:rsidR="00010384" w:rsidRPr="00010384" w:rsidTr="00010384">
        <w:trPr>
          <w:trHeight w:val="360"/>
        </w:trPr>
        <w:tc>
          <w:tcPr>
            <w:tcW w:w="94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8/8/2012</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Wed</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1,630</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276.2</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257.2</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18.9</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30.9</w:t>
            </w:r>
          </w:p>
        </w:tc>
        <w:tc>
          <w:tcPr>
            <w:tcW w:w="10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6.9%</w:t>
            </w:r>
          </w:p>
        </w:tc>
        <w:tc>
          <w:tcPr>
            <w:tcW w:w="86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87.9</w:t>
            </w:r>
          </w:p>
        </w:tc>
        <w:tc>
          <w:tcPr>
            <w:tcW w:w="91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98.8</w:t>
            </w:r>
          </w:p>
        </w:tc>
      </w:tr>
      <w:tr w:rsidR="00010384" w:rsidRPr="00010384" w:rsidTr="00010384">
        <w:trPr>
          <w:trHeight w:val="360"/>
        </w:trPr>
        <w:tc>
          <w:tcPr>
            <w:tcW w:w="94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8/9/2012</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Thu</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1,630</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271.8</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258.9</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12.9</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21.0</w:t>
            </w:r>
          </w:p>
        </w:tc>
        <w:tc>
          <w:tcPr>
            <w:tcW w:w="10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4.7%</w:t>
            </w:r>
          </w:p>
        </w:tc>
        <w:tc>
          <w:tcPr>
            <w:tcW w:w="86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90.2</w:t>
            </w:r>
          </w:p>
        </w:tc>
        <w:tc>
          <w:tcPr>
            <w:tcW w:w="91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101.8</w:t>
            </w:r>
          </w:p>
        </w:tc>
      </w:tr>
      <w:tr w:rsidR="00010384" w:rsidRPr="00010384" w:rsidTr="00010384">
        <w:trPr>
          <w:trHeight w:val="360"/>
        </w:trPr>
        <w:tc>
          <w:tcPr>
            <w:tcW w:w="94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8/10/2012</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Fri</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1,630</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261.7</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248.7</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13.0</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21.2</w:t>
            </w:r>
          </w:p>
        </w:tc>
        <w:tc>
          <w:tcPr>
            <w:tcW w:w="10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5.0%</w:t>
            </w:r>
          </w:p>
        </w:tc>
        <w:tc>
          <w:tcPr>
            <w:tcW w:w="86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88.5</w:t>
            </w:r>
          </w:p>
        </w:tc>
        <w:tc>
          <w:tcPr>
            <w:tcW w:w="91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104.3</w:t>
            </w:r>
          </w:p>
        </w:tc>
      </w:tr>
      <w:tr w:rsidR="00010384" w:rsidRPr="00010384" w:rsidTr="00010384">
        <w:trPr>
          <w:trHeight w:val="360"/>
        </w:trPr>
        <w:tc>
          <w:tcPr>
            <w:tcW w:w="94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8/13/2012</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Mon</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1,630</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281.2</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261.6</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19.6</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31.9</w:t>
            </w:r>
          </w:p>
        </w:tc>
        <w:tc>
          <w:tcPr>
            <w:tcW w:w="10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7.0%</w:t>
            </w:r>
          </w:p>
        </w:tc>
        <w:tc>
          <w:tcPr>
            <w:tcW w:w="86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89.7</w:t>
            </w:r>
          </w:p>
        </w:tc>
        <w:tc>
          <w:tcPr>
            <w:tcW w:w="91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color w:val="000000"/>
                <w:sz w:val="18"/>
                <w:szCs w:val="18"/>
              </w:rPr>
            </w:pPr>
            <w:r w:rsidRPr="00010384">
              <w:rPr>
                <w:rFonts w:ascii="Arial" w:eastAsia="Times New Roman" w:hAnsi="Arial" w:cs="Arial"/>
                <w:color w:val="000000"/>
                <w:sz w:val="18"/>
                <w:szCs w:val="18"/>
              </w:rPr>
              <w:t>103.9</w:t>
            </w:r>
          </w:p>
        </w:tc>
      </w:tr>
      <w:tr w:rsidR="00010384" w:rsidRPr="00010384" w:rsidTr="00010384">
        <w:trPr>
          <w:trHeight w:val="360"/>
        </w:trPr>
        <w:tc>
          <w:tcPr>
            <w:tcW w:w="1892" w:type="dxa"/>
            <w:gridSpan w:val="2"/>
            <w:tcBorders>
              <w:top w:val="single" w:sz="4" w:space="0" w:color="auto"/>
              <w:left w:val="single" w:sz="4" w:space="0" w:color="auto"/>
              <w:bottom w:val="single" w:sz="4" w:space="0" w:color="auto"/>
              <w:right w:val="single" w:sz="4" w:space="0" w:color="000000"/>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000000"/>
                <w:sz w:val="18"/>
                <w:szCs w:val="18"/>
              </w:rPr>
            </w:pPr>
            <w:r w:rsidRPr="00010384">
              <w:rPr>
                <w:rFonts w:ascii="Arial" w:eastAsia="Times New Roman" w:hAnsi="Arial" w:cs="Arial"/>
                <w:b/>
                <w:bCs/>
                <w:color w:val="000000"/>
                <w:sz w:val="18"/>
                <w:szCs w:val="18"/>
              </w:rPr>
              <w:t>Avg. Event</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000000"/>
                <w:sz w:val="18"/>
                <w:szCs w:val="18"/>
              </w:rPr>
            </w:pPr>
            <w:r w:rsidRPr="00010384">
              <w:rPr>
                <w:rFonts w:ascii="Arial" w:eastAsia="Times New Roman" w:hAnsi="Arial" w:cs="Arial"/>
                <w:b/>
                <w:bCs/>
                <w:color w:val="000000"/>
                <w:sz w:val="18"/>
                <w:szCs w:val="18"/>
              </w:rPr>
              <w:t>1,627</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000000"/>
                <w:sz w:val="18"/>
                <w:szCs w:val="18"/>
              </w:rPr>
            </w:pPr>
            <w:r w:rsidRPr="00010384">
              <w:rPr>
                <w:rFonts w:ascii="Arial" w:eastAsia="Times New Roman" w:hAnsi="Arial" w:cs="Arial"/>
                <w:b/>
                <w:bCs/>
                <w:color w:val="000000"/>
                <w:sz w:val="18"/>
                <w:szCs w:val="18"/>
              </w:rPr>
              <w:t>268.8</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000000"/>
                <w:sz w:val="18"/>
                <w:szCs w:val="18"/>
              </w:rPr>
            </w:pPr>
            <w:r w:rsidRPr="00010384">
              <w:rPr>
                <w:rFonts w:ascii="Arial" w:eastAsia="Times New Roman" w:hAnsi="Arial" w:cs="Arial"/>
                <w:b/>
                <w:bCs/>
                <w:color w:val="000000"/>
                <w:sz w:val="18"/>
                <w:szCs w:val="18"/>
              </w:rPr>
              <w:t>250.3</w:t>
            </w:r>
          </w:p>
        </w:tc>
        <w:tc>
          <w:tcPr>
            <w:tcW w:w="94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000000"/>
                <w:sz w:val="18"/>
                <w:szCs w:val="18"/>
              </w:rPr>
            </w:pPr>
            <w:r w:rsidRPr="00010384">
              <w:rPr>
                <w:rFonts w:ascii="Arial" w:eastAsia="Times New Roman" w:hAnsi="Arial" w:cs="Arial"/>
                <w:b/>
                <w:bCs/>
                <w:color w:val="000000"/>
                <w:sz w:val="18"/>
                <w:szCs w:val="18"/>
              </w:rPr>
              <w:t>18.5</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000000"/>
                <w:sz w:val="18"/>
                <w:szCs w:val="18"/>
              </w:rPr>
            </w:pPr>
            <w:r w:rsidRPr="00010384">
              <w:rPr>
                <w:rFonts w:ascii="Arial" w:eastAsia="Times New Roman" w:hAnsi="Arial" w:cs="Arial"/>
                <w:b/>
                <w:bCs/>
                <w:color w:val="000000"/>
                <w:sz w:val="18"/>
                <w:szCs w:val="18"/>
              </w:rPr>
              <w:t>30.2</w:t>
            </w:r>
          </w:p>
        </w:tc>
        <w:tc>
          <w:tcPr>
            <w:tcW w:w="10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000000"/>
                <w:sz w:val="18"/>
                <w:szCs w:val="18"/>
              </w:rPr>
            </w:pPr>
            <w:r w:rsidRPr="00010384">
              <w:rPr>
                <w:rFonts w:ascii="Arial" w:eastAsia="Times New Roman" w:hAnsi="Arial" w:cs="Arial"/>
                <w:b/>
                <w:bCs/>
                <w:color w:val="000000"/>
                <w:sz w:val="18"/>
                <w:szCs w:val="18"/>
              </w:rPr>
              <w:t>6.9%</w:t>
            </w:r>
          </w:p>
        </w:tc>
        <w:tc>
          <w:tcPr>
            <w:tcW w:w="86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000000"/>
                <w:sz w:val="18"/>
                <w:szCs w:val="18"/>
              </w:rPr>
            </w:pPr>
            <w:r w:rsidRPr="00010384">
              <w:rPr>
                <w:rFonts w:ascii="Arial" w:eastAsia="Times New Roman" w:hAnsi="Arial" w:cs="Arial"/>
                <w:b/>
                <w:bCs/>
                <w:color w:val="000000"/>
                <w:sz w:val="18"/>
                <w:szCs w:val="18"/>
              </w:rPr>
              <w:t>86.5</w:t>
            </w:r>
          </w:p>
        </w:tc>
        <w:tc>
          <w:tcPr>
            <w:tcW w:w="91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010384" w:rsidRPr="00010384" w:rsidRDefault="00010384" w:rsidP="00010384">
            <w:pPr>
              <w:spacing w:after="0" w:line="240" w:lineRule="auto"/>
              <w:jc w:val="center"/>
              <w:rPr>
                <w:rFonts w:ascii="Arial" w:eastAsia="Times New Roman" w:hAnsi="Arial" w:cs="Arial"/>
                <w:b/>
                <w:bCs/>
                <w:color w:val="000000"/>
                <w:sz w:val="18"/>
                <w:szCs w:val="18"/>
              </w:rPr>
            </w:pPr>
            <w:r w:rsidRPr="00010384">
              <w:rPr>
                <w:rFonts w:ascii="Arial" w:eastAsia="Times New Roman" w:hAnsi="Arial" w:cs="Arial"/>
                <w:b/>
                <w:bCs/>
                <w:color w:val="000000"/>
                <w:sz w:val="18"/>
                <w:szCs w:val="18"/>
              </w:rPr>
              <w:t>102.8</w:t>
            </w:r>
          </w:p>
        </w:tc>
      </w:tr>
    </w:tbl>
    <w:p w:rsidR="00211B4A" w:rsidRPr="00211B4A" w:rsidRDefault="00211B4A" w:rsidP="0002103E">
      <w:pPr>
        <w:pStyle w:val="BodyParaAfterTableFigure"/>
      </w:pPr>
      <w:bookmarkStart w:id="84" w:name="_Toc326072106"/>
      <w:r w:rsidRPr="00211B4A">
        <w:t xml:space="preserve">Figure 4-1 also presents the estimated load impacts for CPP event days and the average event day in 2012 but here the point estimates are included with 90% confidence intervals. </w:t>
      </w:r>
      <w:r w:rsidR="00AA7150">
        <w:t xml:space="preserve"> </w:t>
      </w:r>
      <w:r w:rsidRPr="00211B4A">
        <w:t>The wider confidence bands around the individual event day estimates, relative to the average event day, illustrate the noise inherent in measuring load im</w:t>
      </w:r>
      <w:r w:rsidR="002548CB">
        <w:t xml:space="preserve">pacts for individual event days </w:t>
      </w:r>
      <w:r w:rsidR="00CA470C">
        <w:t>–</w:t>
      </w:r>
      <w:r w:rsidR="002548CB">
        <w:t xml:space="preserve"> </w:t>
      </w:r>
      <w:r w:rsidRPr="00211B4A">
        <w:t xml:space="preserve">the average event day load impact estimate is more precise. </w:t>
      </w:r>
      <w:r w:rsidR="00AA7150">
        <w:t xml:space="preserve"> </w:t>
      </w:r>
      <w:r w:rsidRPr="00211B4A">
        <w:t>The individual event day results are less precise because the percent demand reductions are relatively small and harder to d</w:t>
      </w:r>
      <w:r w:rsidR="00A51E49">
        <w:t>istinguish</w:t>
      </w:r>
      <w:r w:rsidRPr="00211B4A">
        <w:t xml:space="preserve"> from the inherent day-to-day varia</w:t>
      </w:r>
      <w:r w:rsidR="002548CB">
        <w:t>tion in loads</w:t>
      </w:r>
      <w:r w:rsidRPr="00211B4A">
        <w:t xml:space="preserve">.  A large amount of the variation in load impact estimates </w:t>
      </w:r>
      <w:r w:rsidR="00A51E49">
        <w:t xml:space="preserve">across event days </w:t>
      </w:r>
      <w:r w:rsidRPr="00211B4A">
        <w:t xml:space="preserve">is </w:t>
      </w:r>
      <w:r w:rsidRPr="00211B4A">
        <w:lastRenderedPageBreak/>
        <w:t>unexplained noise.</w:t>
      </w:r>
      <w:r w:rsidR="00AA7150">
        <w:t xml:space="preserve">  </w:t>
      </w:r>
      <w:r w:rsidR="00A51E49" w:rsidRPr="00211B4A">
        <w:t>This is likely a function of CPP customers’ differing day-to-day load patterns and ability to shift loads</w:t>
      </w:r>
      <w:r w:rsidR="00A51E49">
        <w:t xml:space="preserve">. </w:t>
      </w:r>
      <w:r w:rsidRPr="00211B4A">
        <w:t>However,</w:t>
      </w:r>
      <w:r w:rsidR="00A51E49">
        <w:t xml:space="preserve"> </w:t>
      </w:r>
      <w:r w:rsidRPr="00211B4A">
        <w:t xml:space="preserve">load impacts </w:t>
      </w:r>
      <w:r w:rsidR="00A51E49">
        <w:t xml:space="preserve">of individual event days </w:t>
      </w:r>
      <w:r w:rsidRPr="00211B4A">
        <w:t xml:space="preserve">are </w:t>
      </w:r>
      <w:r w:rsidR="00A51E49">
        <w:t xml:space="preserve">not </w:t>
      </w:r>
      <w:r w:rsidRPr="00211B4A">
        <w:t>significantly different from the average event.</w:t>
      </w:r>
      <w:r w:rsidR="00AA7150">
        <w:t xml:space="preserve">  </w:t>
      </w:r>
    </w:p>
    <w:p w:rsidR="00F92345" w:rsidRPr="00F92345" w:rsidRDefault="00F92345" w:rsidP="0002103E">
      <w:pPr>
        <w:pStyle w:val="TableFigureCaption"/>
      </w:pPr>
      <w:r w:rsidRPr="00F92345">
        <w:t>Figure 4-1</w:t>
      </w:r>
      <w:r w:rsidR="0002103E">
        <w:t>:</w:t>
      </w:r>
      <w:r w:rsidRPr="00F92345">
        <w:t xml:space="preserve"> Estimated Ex Post Load Impacts with Confidence Intervals</w:t>
      </w:r>
      <w:r w:rsidR="0002103E">
        <w:t xml:space="preserve"> </w:t>
      </w:r>
      <w:r w:rsidR="00AA7150">
        <w:br/>
      </w:r>
      <w:r w:rsidRPr="00F92345">
        <w:t>2012 PG&amp;E CPP Events</w:t>
      </w:r>
    </w:p>
    <w:p w:rsidR="007F3E09" w:rsidRDefault="00A55A1F" w:rsidP="00A55A1F">
      <w:pPr>
        <w:pStyle w:val="BodyParagraph"/>
      </w:pPr>
      <w:r w:rsidRPr="00A55A1F">
        <w:rPr>
          <w:noProof/>
        </w:rPr>
        <w:drawing>
          <wp:inline distT="0" distB="0" distL="0" distR="0" wp14:anchorId="198C842E" wp14:editId="3EB79AA6">
            <wp:extent cx="5943600" cy="2834025"/>
            <wp:effectExtent l="19050" t="0" r="0" b="0"/>
            <wp:docPr id="1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srcRect/>
                    <a:stretch>
                      <a:fillRect/>
                    </a:stretch>
                  </pic:blipFill>
                  <pic:spPr bwMode="auto">
                    <a:xfrm>
                      <a:off x="0" y="0"/>
                      <a:ext cx="5943600" cy="2834025"/>
                    </a:xfrm>
                    <a:prstGeom prst="rect">
                      <a:avLst/>
                    </a:prstGeom>
                    <a:noFill/>
                    <a:ln w="9525">
                      <a:noFill/>
                      <a:miter lim="800000"/>
                      <a:headEnd/>
                      <a:tailEnd/>
                    </a:ln>
                  </pic:spPr>
                </pic:pic>
              </a:graphicData>
            </a:graphic>
          </wp:inline>
        </w:drawing>
      </w:r>
    </w:p>
    <w:p w:rsidR="00AD6E36" w:rsidRPr="00B949E3" w:rsidRDefault="00AD6E36" w:rsidP="0002103E">
      <w:pPr>
        <w:pStyle w:val="Heading2"/>
        <w:spacing w:before="360"/>
      </w:pPr>
      <w:bookmarkStart w:id="85" w:name="_Toc352323631"/>
      <w:r w:rsidRPr="0002103E">
        <w:t>Average</w:t>
      </w:r>
      <w:r w:rsidRPr="00B949E3">
        <w:t xml:space="preserve"> Event Day Impacts</w:t>
      </w:r>
      <w:bookmarkEnd w:id="84"/>
      <w:bookmarkEnd w:id="85"/>
    </w:p>
    <w:p w:rsidR="00AD6E36" w:rsidRDefault="0098736A" w:rsidP="00AD6E36">
      <w:pPr>
        <w:pStyle w:val="BodyParagraph"/>
      </w:pPr>
      <w:r>
        <w:t>Figure 4-2</w:t>
      </w:r>
      <w:r w:rsidR="00AD6E36" w:rsidRPr="00B949E3">
        <w:t xml:space="preserve"> shows the </w:t>
      </w:r>
      <w:r w:rsidR="00AD6E36" w:rsidRPr="00B949E3">
        <w:t>aggregate hourly impacts for all PG&amp;E CPP customers</w:t>
      </w:r>
      <w:r w:rsidR="00B949E3">
        <w:t xml:space="preserve"> for all hours of the day for</w:t>
      </w:r>
      <w:r w:rsidR="00AA7150">
        <w:t> </w:t>
      </w:r>
      <w:r w:rsidR="00B949E3">
        <w:t>the average event day</w:t>
      </w:r>
      <w:r w:rsidR="00AD6E36" w:rsidRPr="00B949E3">
        <w:t>.  It is a snapshot of the electronic table</w:t>
      </w:r>
      <w:r w:rsidR="00B949E3" w:rsidRPr="00B949E3">
        <w:t xml:space="preserve"> generator to b</w:t>
      </w:r>
      <w:r w:rsidR="00267644" w:rsidRPr="00B949E3">
        <w:t xml:space="preserve">e </w:t>
      </w:r>
      <w:r w:rsidR="00AD6E36" w:rsidRPr="00B949E3">
        <w:t>filed with the CPUC along with this evaluation report.  Percent reductions in each h</w:t>
      </w:r>
      <w:r w:rsidR="002548CB">
        <w:t>our vary modestly</w:t>
      </w:r>
      <w:r w:rsidR="00B949E3">
        <w:t xml:space="preserve"> across the four-</w:t>
      </w:r>
      <w:r w:rsidR="00AD6E36" w:rsidRPr="00B949E3">
        <w:t>hour event wi</w:t>
      </w:r>
      <w:r w:rsidR="00B949E3">
        <w:t>ndow, ranging from a high of 7.2% in the third</w:t>
      </w:r>
      <w:r w:rsidR="00AD6E36" w:rsidRPr="00B949E3">
        <w:t xml:space="preserve"> hour to a low of </w:t>
      </w:r>
      <w:r w:rsidR="00B949E3">
        <w:t>6.6</w:t>
      </w:r>
      <w:r w:rsidR="00AD6E36" w:rsidRPr="00B949E3">
        <w:t xml:space="preserve">% in the </w:t>
      </w:r>
      <w:r w:rsidR="00B949E3">
        <w:t>fir</w:t>
      </w:r>
      <w:r w:rsidR="00AD6E36" w:rsidRPr="00B949E3">
        <w:t>st hour.  Statistically, these differences are probably not significant.  Reference loads and load impacts vary more than percentage impacts.  Th</w:t>
      </w:r>
      <w:r w:rsidR="00B949E3">
        <w:t>e highest aggregate impact, 3</w:t>
      </w:r>
      <w:r w:rsidR="00475903">
        <w:t>1</w:t>
      </w:r>
      <w:r w:rsidR="00B949E3">
        <w:t>.</w:t>
      </w:r>
      <w:r w:rsidR="00475903">
        <w:t>3</w:t>
      </w:r>
      <w:r w:rsidR="00B949E3">
        <w:t xml:space="preserve"> MW, occurs in the second</w:t>
      </w:r>
      <w:r w:rsidR="00AD6E36" w:rsidRPr="00B949E3">
        <w:t xml:space="preserve"> </w:t>
      </w:r>
      <w:r w:rsidR="00B949E3">
        <w:t>hour and the lowest impact, 27.</w:t>
      </w:r>
      <w:r w:rsidR="00475903">
        <w:t>9</w:t>
      </w:r>
      <w:r w:rsidR="00AD6E36" w:rsidRPr="00B949E3">
        <w:t xml:space="preserve"> MW, occurs in the last hour.  The decline in impacts coincides with the decline in the aggregate reference load.  This represents a typical </w:t>
      </w:r>
      <w:r w:rsidR="002548CB">
        <w:t xml:space="preserve">usage </w:t>
      </w:r>
      <w:r w:rsidR="00AD6E36" w:rsidRPr="00B949E3">
        <w:t>pattern for non</w:t>
      </w:r>
      <w:r w:rsidR="002548CB">
        <w:t xml:space="preserve">-residential customers: </w:t>
      </w:r>
      <w:r w:rsidR="00AD6E36" w:rsidRPr="00B949E3">
        <w:t>a relatively steep decline in late afternoon and early evening</w:t>
      </w:r>
      <w:r w:rsidR="002548CB">
        <w:t xml:space="preserve"> indicating </w:t>
      </w:r>
      <w:r w:rsidR="00AD6E36" w:rsidRPr="00B949E3">
        <w:t xml:space="preserve">when </w:t>
      </w:r>
      <w:r w:rsidR="00AD6E36" w:rsidRPr="00B949E3">
        <w:t>man</w:t>
      </w:r>
      <w:r w:rsidR="00B949E3">
        <w:t xml:space="preserve">y manufacturing plants and </w:t>
      </w:r>
      <w:r w:rsidR="00AD6E36" w:rsidRPr="00B949E3">
        <w:t>other businesses begin shutting down at the end of the work day.</w:t>
      </w:r>
    </w:p>
    <w:p w:rsidR="00AD6E36" w:rsidRDefault="00AD6E36" w:rsidP="00AD6E36">
      <w:pPr>
        <w:pStyle w:val="BodyParagraph"/>
        <w:sectPr w:rsidR="00AD6E36" w:rsidSect="00C82C6B">
          <w:headerReference w:type="default" r:id="rId28"/>
          <w:pgSz w:w="12240" w:h="15840"/>
          <w:pgMar w:top="1440" w:right="1440" w:bottom="1440" w:left="1440" w:header="720" w:footer="720" w:gutter="0"/>
          <w:cols w:space="720"/>
          <w:docGrid w:linePitch="360"/>
        </w:sectPr>
      </w:pPr>
    </w:p>
    <w:p w:rsidR="00AD6E36" w:rsidRPr="00D963CC" w:rsidRDefault="00AD6E36" w:rsidP="00AD6E36">
      <w:pPr>
        <w:pStyle w:val="TableFigureCaption"/>
        <w:rPr>
          <w:rFonts w:ascii="Verdana" w:hAnsi="Verdana"/>
        </w:rPr>
      </w:pPr>
      <w:r w:rsidRPr="00D963CC">
        <w:rPr>
          <w:rFonts w:ascii="Verdana" w:hAnsi="Verdana"/>
        </w:rPr>
        <w:lastRenderedPageBreak/>
        <w:t>Figure</w:t>
      </w:r>
      <w:r w:rsidR="0098736A" w:rsidRPr="00D963CC">
        <w:rPr>
          <w:rFonts w:ascii="Verdana" w:hAnsi="Verdana"/>
        </w:rPr>
        <w:t xml:space="preserve"> 4-2</w:t>
      </w:r>
      <w:r w:rsidRPr="00D963CC">
        <w:rPr>
          <w:rFonts w:ascii="Verdana" w:hAnsi="Verdana"/>
        </w:rPr>
        <w:t>: Estimated Hourly Impacts for the Average Event Day</w:t>
      </w:r>
      <w:r w:rsidRPr="00D963CC">
        <w:rPr>
          <w:rFonts w:ascii="Verdana" w:hAnsi="Verdana"/>
        </w:rPr>
        <w:br/>
      </w:r>
      <w:r w:rsidR="00872816" w:rsidRPr="00D963CC">
        <w:rPr>
          <w:rFonts w:ascii="Verdana" w:hAnsi="Verdana"/>
        </w:rPr>
        <w:t>2012</w:t>
      </w:r>
      <w:r w:rsidRPr="00D963CC">
        <w:rPr>
          <w:rFonts w:ascii="Verdana" w:hAnsi="Verdana"/>
        </w:rPr>
        <w:t xml:space="preserve"> PG&amp;E CPP Events</w:t>
      </w:r>
    </w:p>
    <w:p w:rsidR="00627B26" w:rsidRDefault="00627B26" w:rsidP="00AD6E36">
      <w:pPr>
        <w:pStyle w:val="BodyParagraph"/>
        <w:rPr>
          <w:noProof/>
        </w:rPr>
      </w:pPr>
    </w:p>
    <w:p w:rsidR="0087138F" w:rsidRDefault="00010384" w:rsidP="00AD6E36">
      <w:pPr>
        <w:pStyle w:val="BodyParagraph"/>
        <w:sectPr w:rsidR="0087138F" w:rsidSect="00C82C6B">
          <w:headerReference w:type="default" r:id="rId29"/>
          <w:pgSz w:w="15840" w:h="12240" w:orient="landscape"/>
          <w:pgMar w:top="1440" w:right="1440" w:bottom="1440" w:left="1440" w:header="720" w:footer="720" w:gutter="0"/>
          <w:cols w:space="720"/>
          <w:docGrid w:linePitch="360"/>
        </w:sectPr>
      </w:pPr>
      <w:r w:rsidRPr="00010384">
        <w:drawing>
          <wp:inline distT="0" distB="0" distL="0" distR="0" wp14:anchorId="3F4FFBD4" wp14:editId="7A7CD44C">
            <wp:extent cx="8282869" cy="4874150"/>
            <wp:effectExtent l="0" t="0" r="4445"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8280516" cy="4872765"/>
                    </a:xfrm>
                    <a:prstGeom prst="rect">
                      <a:avLst/>
                    </a:prstGeom>
                  </pic:spPr>
                </pic:pic>
              </a:graphicData>
            </a:graphic>
          </wp:inline>
        </w:drawing>
      </w:r>
    </w:p>
    <w:p w:rsidR="00AD6E36" w:rsidRDefault="00AD6E36" w:rsidP="00AD6E36">
      <w:pPr>
        <w:pStyle w:val="Heading2"/>
      </w:pPr>
      <w:bookmarkStart w:id="86" w:name="_Toc326072107"/>
      <w:bookmarkStart w:id="87" w:name="_Toc352323632"/>
      <w:r w:rsidRPr="008A1951">
        <w:lastRenderedPageBreak/>
        <w:t>Load</w:t>
      </w:r>
      <w:r>
        <w:t xml:space="preserve"> Impacts by Industry</w:t>
      </w:r>
      <w:bookmarkEnd w:id="86"/>
      <w:bookmarkEnd w:id="87"/>
    </w:p>
    <w:p w:rsidR="00AD6E36" w:rsidRDefault="006541B9" w:rsidP="00AD6E36">
      <w:pPr>
        <w:pStyle w:val="BodyParagraph"/>
      </w:pPr>
      <w:r>
        <w:t>Table</w:t>
      </w:r>
      <w:r w:rsidR="003C5A65">
        <w:t xml:space="preserve"> 4-</w:t>
      </w:r>
      <w:r>
        <w:t>2</w:t>
      </w:r>
      <w:r w:rsidR="00AD6E36">
        <w:t xml:space="preserve"> </w:t>
      </w:r>
      <w:r w:rsidR="002A5CA4">
        <w:t xml:space="preserve">compares the reference load, </w:t>
      </w:r>
      <w:r w:rsidR="002A5CA4">
        <w:t>load impact and the number of accounts, in percentage terms,</w:t>
      </w:r>
      <w:r w:rsidR="00B05BB0">
        <w:t> </w:t>
      </w:r>
      <w:r w:rsidR="002A5CA4">
        <w:t>for each industry segment</w:t>
      </w:r>
      <w:r w:rsidR="00AD6E36">
        <w:t xml:space="preserve">.  </w:t>
      </w:r>
      <w:r w:rsidR="003C5A65">
        <w:t xml:space="preserve">About 41% of the accounts </w:t>
      </w:r>
      <w:r w:rsidR="002A5CA4">
        <w:t>c</w:t>
      </w:r>
      <w:r w:rsidR="00AD6E36">
        <w:t xml:space="preserve">ame from three industry segments: </w:t>
      </w:r>
      <w:r w:rsidR="003E29C4">
        <w:t>M</w:t>
      </w:r>
      <w:r w:rsidR="003C5A65">
        <w:t>anufacturing</w:t>
      </w:r>
      <w:r w:rsidR="003E29C4">
        <w:t>;</w:t>
      </w:r>
      <w:r w:rsidR="003C5A65">
        <w:t xml:space="preserve"> </w:t>
      </w:r>
      <w:r w:rsidR="003E29C4">
        <w:t>W</w:t>
      </w:r>
      <w:r w:rsidR="003C5A65">
        <w:t xml:space="preserve">holesale, </w:t>
      </w:r>
      <w:r w:rsidR="003E29C4">
        <w:t>T</w:t>
      </w:r>
      <w:r w:rsidR="003C5A65">
        <w:t xml:space="preserve">ransport </w:t>
      </w:r>
      <w:r w:rsidR="003E29C4">
        <w:t>&amp;</w:t>
      </w:r>
      <w:r w:rsidR="003C5A65">
        <w:t xml:space="preserve"> </w:t>
      </w:r>
      <w:r w:rsidR="003E29C4">
        <w:t>O</w:t>
      </w:r>
      <w:r w:rsidR="003C5A65">
        <w:t xml:space="preserve">ther </w:t>
      </w:r>
      <w:r w:rsidR="003E29C4">
        <w:t>U</w:t>
      </w:r>
      <w:r w:rsidR="003C5A65">
        <w:t>tilities</w:t>
      </w:r>
      <w:r w:rsidR="003E29C4">
        <w:t>;</w:t>
      </w:r>
      <w:r w:rsidR="003C5A65">
        <w:t xml:space="preserve"> and </w:t>
      </w:r>
      <w:r w:rsidR="003E29C4">
        <w:t>A</w:t>
      </w:r>
      <w:r w:rsidR="00AD6E36">
        <w:t xml:space="preserve">griculture, </w:t>
      </w:r>
      <w:r w:rsidR="003E29C4">
        <w:t>M</w:t>
      </w:r>
      <w:r w:rsidR="00AD6E36">
        <w:t xml:space="preserve">ining </w:t>
      </w:r>
      <w:r w:rsidR="003E29C4">
        <w:t>&amp;</w:t>
      </w:r>
      <w:r w:rsidR="00AD6E36">
        <w:t xml:space="preserve"> </w:t>
      </w:r>
      <w:r w:rsidR="003E29C4">
        <w:t>C</w:t>
      </w:r>
      <w:r w:rsidR="00AD6E36">
        <w:t>onstruction.  These three industries had the highest percent impact and highes</w:t>
      </w:r>
      <w:r w:rsidR="002A5CA4">
        <w:t>t average impact per customer.  Combined, they accounted f</w:t>
      </w:r>
      <w:r w:rsidR="00B949E3">
        <w:t xml:space="preserve">or </w:t>
      </w:r>
      <w:r w:rsidR="00475903">
        <w:t>40</w:t>
      </w:r>
      <w:r w:rsidR="002548CB">
        <w:t>% of the reference load (</w:t>
      </w:r>
      <w:r w:rsidR="00475903">
        <w:t>1</w:t>
      </w:r>
      <w:r w:rsidR="00475903">
        <w:t>77</w:t>
      </w:r>
      <w:r w:rsidR="002548CB">
        <w:t>.</w:t>
      </w:r>
      <w:r w:rsidR="00475903">
        <w:t>3</w:t>
      </w:r>
      <w:r w:rsidR="00475903">
        <w:t xml:space="preserve"> </w:t>
      </w:r>
      <w:r w:rsidR="00B949E3">
        <w:t>MW) but produced</w:t>
      </w:r>
      <w:r w:rsidR="00475903">
        <w:t xml:space="preserve"> over</w:t>
      </w:r>
      <w:r w:rsidR="00B949E3">
        <w:t xml:space="preserve"> 8</w:t>
      </w:r>
      <w:r w:rsidR="00475903">
        <w:t>0</w:t>
      </w:r>
      <w:r w:rsidR="00B949E3">
        <w:t>% of the impacts</w:t>
      </w:r>
      <w:r w:rsidR="002A5CA4">
        <w:t xml:space="preserve">.  </w:t>
      </w:r>
      <w:r w:rsidR="003C5A65">
        <w:t>CPP p</w:t>
      </w:r>
      <w:r w:rsidR="00AD6E36">
        <w:t xml:space="preserve">articipants in the </w:t>
      </w:r>
      <w:r w:rsidR="003E29C4">
        <w:t>M</w:t>
      </w:r>
      <w:r w:rsidR="00AD6E36">
        <w:t>a</w:t>
      </w:r>
      <w:r w:rsidR="00B949E3">
        <w:t>nufacturing sector provided 1</w:t>
      </w:r>
      <w:r w:rsidR="00475903">
        <w:t>1</w:t>
      </w:r>
      <w:r w:rsidR="00B949E3">
        <w:t>.</w:t>
      </w:r>
      <w:r w:rsidR="00475903">
        <w:t>4</w:t>
      </w:r>
      <w:r w:rsidR="00AD6E36">
        <w:t xml:space="preserve"> MW of aggregate load reduction</w:t>
      </w:r>
      <w:r w:rsidR="003C5A65">
        <w:t xml:space="preserve"> on the average event day</w:t>
      </w:r>
      <w:r w:rsidR="00AD6E36">
        <w:t xml:space="preserve">, while the </w:t>
      </w:r>
      <w:r w:rsidR="003E29C4">
        <w:t>W</w:t>
      </w:r>
      <w:r w:rsidR="00AD6E36">
        <w:t xml:space="preserve">holesale, </w:t>
      </w:r>
      <w:r w:rsidR="003E29C4">
        <w:t>T</w:t>
      </w:r>
      <w:r w:rsidR="00AD6E36">
        <w:t xml:space="preserve">ransport </w:t>
      </w:r>
      <w:r w:rsidR="003E29C4">
        <w:t>&amp;</w:t>
      </w:r>
      <w:r w:rsidR="00AD6E36">
        <w:t xml:space="preserve"> </w:t>
      </w:r>
      <w:r w:rsidR="003E29C4">
        <w:t>O</w:t>
      </w:r>
      <w:r w:rsidR="00AD6E36">
        <w:t>the</w:t>
      </w:r>
      <w:r w:rsidR="003C5A65">
        <w:t xml:space="preserve">r </w:t>
      </w:r>
      <w:r w:rsidR="003E29C4">
        <w:t>U</w:t>
      </w:r>
      <w:r w:rsidR="003C5A65">
        <w:t>tilities segment</w:t>
      </w:r>
      <w:r w:rsidR="00B949E3">
        <w:t xml:space="preserve"> provided 10.</w:t>
      </w:r>
      <w:r w:rsidR="00475903">
        <w:t>6</w:t>
      </w:r>
      <w:r w:rsidR="00357401">
        <w:t xml:space="preserve"> MW of aggregate load impact, </w:t>
      </w:r>
      <w:r w:rsidR="00475903">
        <w:t xml:space="preserve">reducing loads by </w:t>
      </w:r>
      <w:r w:rsidR="00357401">
        <w:t>11.6% and 20.8, respectively.</w:t>
      </w:r>
    </w:p>
    <w:p w:rsidR="00357401" w:rsidRDefault="003C5A65" w:rsidP="00357401">
      <w:pPr>
        <w:pStyle w:val="BodyParagraph"/>
      </w:pPr>
      <w:r>
        <w:t xml:space="preserve">Load impacts for </w:t>
      </w:r>
      <w:r w:rsidR="003E29C4">
        <w:t>S</w:t>
      </w:r>
      <w:r>
        <w:t>chools are</w:t>
      </w:r>
      <w:r w:rsidR="00AD6E36">
        <w:t xml:space="preserve"> </w:t>
      </w:r>
      <w:r>
        <w:t>small</w:t>
      </w:r>
      <w:r w:rsidR="00AD6E36">
        <w:t>, even tho</w:t>
      </w:r>
      <w:r>
        <w:t>ugh schools comprise 17</w:t>
      </w:r>
      <w:r w:rsidR="00AD6E36">
        <w:t xml:space="preserve">% of the number of participating accounts.  The variation in school occupancy and resulting loads across the summer period make it very difficult to estimate load impacts for this segment.  It may be that some schools provided meaningful load reductions, but </w:t>
      </w:r>
      <w:r w:rsidR="00AD6E36" w:rsidRPr="00B949E3">
        <w:t>on average, there were no statistically significant impacts for this relatively large participant population.</w:t>
      </w:r>
      <w:r w:rsidR="002A5CA4">
        <w:t xml:space="preserve">  The </w:t>
      </w:r>
      <w:r w:rsidR="003E29C4">
        <w:t>O</w:t>
      </w:r>
      <w:r w:rsidR="00AD6E36">
        <w:t xml:space="preserve">ffices, </w:t>
      </w:r>
      <w:r w:rsidR="003E29C4">
        <w:t>H</w:t>
      </w:r>
      <w:r w:rsidR="00AD6E36">
        <w:t xml:space="preserve">otels, </w:t>
      </w:r>
      <w:r w:rsidR="003E29C4">
        <w:t>F</w:t>
      </w:r>
      <w:r w:rsidR="00AD6E36">
        <w:t>inance</w:t>
      </w:r>
      <w:r w:rsidR="003E29C4">
        <w:t>s</w:t>
      </w:r>
      <w:r w:rsidR="00AD6E36">
        <w:t xml:space="preserve"> </w:t>
      </w:r>
      <w:r w:rsidR="003E29C4">
        <w:t>&amp;</w:t>
      </w:r>
      <w:r w:rsidR="00AD6E36">
        <w:t xml:space="preserve"> </w:t>
      </w:r>
      <w:r w:rsidR="003E29C4">
        <w:t>S</w:t>
      </w:r>
      <w:r w:rsidR="00AD6E36">
        <w:t>ervices</w:t>
      </w:r>
      <w:r w:rsidR="002A5CA4">
        <w:t xml:space="preserve"> sector has the most accounts enrolled, but also has </w:t>
      </w:r>
      <w:r w:rsidR="00AD6E36">
        <w:t xml:space="preserve">very small load reductions on both a percentage and absolute basis.  </w:t>
      </w:r>
      <w:r w:rsidR="00B949E3">
        <w:t>However, l</w:t>
      </w:r>
      <w:r w:rsidR="00AD6E36">
        <w:t xml:space="preserve">oad patterns for this segment are much more easily estimated.  </w:t>
      </w:r>
      <w:r w:rsidR="002A5CA4">
        <w:t xml:space="preserve">The reference </w:t>
      </w:r>
      <w:r w:rsidR="00CC2111">
        <w:t xml:space="preserve">load </w:t>
      </w:r>
      <w:r w:rsidR="00B949E3">
        <w:t xml:space="preserve">for the program </w:t>
      </w:r>
      <w:r w:rsidR="002A5CA4">
        <w:t>is also concentrated in this sector, typically comprised of office b</w:t>
      </w:r>
      <w:r w:rsidR="00357401">
        <w:t>uildings.  They accounted for 3</w:t>
      </w:r>
      <w:r w:rsidR="00475903">
        <w:t>6</w:t>
      </w:r>
      <w:r w:rsidR="002A5CA4">
        <w:t>% of the</w:t>
      </w:r>
      <w:r w:rsidR="00357401">
        <w:t xml:space="preserve"> estimated reference load but only produced about 10% of the load reduction (2.8</w:t>
      </w:r>
      <w:r w:rsidR="002A5CA4">
        <w:t xml:space="preserve"> MW).  On aver</w:t>
      </w:r>
      <w:r w:rsidR="00357401">
        <w:t>age, offices reduced load by 1.8</w:t>
      </w:r>
      <w:r w:rsidR="0098736A">
        <w:t xml:space="preserve">%. </w:t>
      </w:r>
    </w:p>
    <w:p w:rsidR="0098736A" w:rsidRDefault="0098736A" w:rsidP="00357401">
      <w:pPr>
        <w:pStyle w:val="BodyParagraph"/>
      </w:pPr>
      <w:r>
        <w:t xml:space="preserve">Figure 4-3 presents the same information as Table 4-2, but in graphical form.  </w:t>
      </w:r>
      <w:r w:rsidR="004A318B">
        <w:t>The benefit of Figure 4</w:t>
      </w:r>
      <w:r w:rsidR="00CF2025">
        <w:noBreakHyphen/>
      </w:r>
      <w:r w:rsidR="004A318B">
        <w:t>3 is that it readily shows what a large percentage of PG&amp;E’s CPP program impacts are provided by a</w:t>
      </w:r>
      <w:r w:rsidR="0001340F">
        <w:t> </w:t>
      </w:r>
      <w:r w:rsidR="004A318B">
        <w:t>relatively small group of customers, and vice versa, that participants in sectors that make up a large portion of CPP enrollment contribute relatively little to the program’s total load impacts.</w:t>
      </w:r>
    </w:p>
    <w:p w:rsidR="006541B9" w:rsidRPr="00D963CC" w:rsidRDefault="006541B9" w:rsidP="0002103E">
      <w:pPr>
        <w:pStyle w:val="TableFigureCaption"/>
      </w:pPr>
      <w:r w:rsidRPr="00D963CC">
        <w:t>Table 4-2: Estimated Ex Post Load Impacts by Industry</w:t>
      </w:r>
      <w:r w:rsidRPr="00D963CC">
        <w:br/>
        <w:t>Average 2012 PG&amp;E CPP Event</w:t>
      </w:r>
    </w:p>
    <w:tbl>
      <w:tblPr>
        <w:tblW w:w="0" w:type="auto"/>
        <w:tblLayout w:type="fixed"/>
        <w:tblLook w:val="04A0" w:firstRow="1" w:lastRow="0" w:firstColumn="1" w:lastColumn="0" w:noHBand="0" w:noVBand="1"/>
      </w:tblPr>
      <w:tblGrid>
        <w:gridCol w:w="2766"/>
        <w:gridCol w:w="816"/>
        <w:gridCol w:w="745"/>
        <w:gridCol w:w="879"/>
        <w:gridCol w:w="745"/>
        <w:gridCol w:w="879"/>
        <w:gridCol w:w="745"/>
        <w:gridCol w:w="869"/>
        <w:gridCol w:w="1002"/>
      </w:tblGrid>
      <w:tr w:rsidR="00475903" w:rsidRPr="00475903" w:rsidTr="00475903">
        <w:trPr>
          <w:trHeight w:val="1200"/>
        </w:trPr>
        <w:tc>
          <w:tcPr>
            <w:tcW w:w="2766" w:type="dxa"/>
            <w:vMerge w:val="restart"/>
            <w:tcBorders>
              <w:top w:val="single" w:sz="4" w:space="0" w:color="auto"/>
              <w:left w:val="single" w:sz="4" w:space="0" w:color="auto"/>
              <w:bottom w:val="single" w:sz="4" w:space="0" w:color="000000"/>
              <w:right w:val="single" w:sz="4" w:space="0" w:color="FFFFFF"/>
            </w:tcBorders>
            <w:shd w:val="clear" w:color="000000" w:fill="1F497D"/>
            <w:tcMar>
              <w:left w:w="43" w:type="dxa"/>
              <w:right w:w="43" w:type="dxa"/>
            </w:tcMar>
            <w:vAlign w:val="center"/>
            <w:hideMark/>
          </w:tcPr>
          <w:p w:rsidR="00475903" w:rsidRPr="00475903" w:rsidRDefault="00475903" w:rsidP="00475903">
            <w:pPr>
              <w:spacing w:after="0" w:line="240" w:lineRule="auto"/>
              <w:jc w:val="center"/>
              <w:rPr>
                <w:rFonts w:eastAsia="Times New Roman" w:cs="Arial"/>
                <w:b/>
                <w:bCs/>
                <w:color w:val="FFFFFF"/>
                <w:sz w:val="18"/>
                <w:szCs w:val="18"/>
              </w:rPr>
            </w:pPr>
            <w:r w:rsidRPr="00475903">
              <w:rPr>
                <w:rFonts w:eastAsia="Times New Roman" w:cs="Arial"/>
                <w:b/>
                <w:bCs/>
                <w:color w:val="FFFFFF"/>
                <w:sz w:val="18"/>
                <w:szCs w:val="18"/>
              </w:rPr>
              <w:t>Industry</w:t>
            </w:r>
          </w:p>
        </w:tc>
        <w:tc>
          <w:tcPr>
            <w:tcW w:w="816" w:type="dxa"/>
            <w:tcBorders>
              <w:top w:val="single" w:sz="4" w:space="0" w:color="auto"/>
              <w:left w:val="nil"/>
              <w:bottom w:val="nil"/>
              <w:right w:val="single" w:sz="4" w:space="0" w:color="FFFFFF"/>
            </w:tcBorders>
            <w:shd w:val="clear" w:color="000000" w:fill="1F497D"/>
            <w:tcMar>
              <w:left w:w="43" w:type="dxa"/>
              <w:right w:w="43" w:type="dxa"/>
            </w:tcMar>
            <w:vAlign w:val="center"/>
            <w:hideMark/>
          </w:tcPr>
          <w:p w:rsidR="00475903" w:rsidRPr="00475903" w:rsidRDefault="00475903" w:rsidP="00475903">
            <w:pPr>
              <w:spacing w:after="0" w:line="240" w:lineRule="auto"/>
              <w:jc w:val="center"/>
              <w:rPr>
                <w:rFonts w:eastAsia="Times New Roman" w:cs="Arial"/>
                <w:b/>
                <w:bCs/>
                <w:color w:val="FFFFFF"/>
                <w:sz w:val="18"/>
                <w:szCs w:val="18"/>
              </w:rPr>
            </w:pPr>
            <w:r w:rsidRPr="00475903">
              <w:rPr>
                <w:rFonts w:eastAsia="Times New Roman" w:cs="Arial"/>
                <w:b/>
                <w:bCs/>
                <w:color w:val="FFFFFF"/>
                <w:sz w:val="18"/>
                <w:szCs w:val="18"/>
              </w:rPr>
              <w:t>Accounts</w:t>
            </w:r>
          </w:p>
        </w:tc>
        <w:tc>
          <w:tcPr>
            <w:tcW w:w="745" w:type="dxa"/>
            <w:tcBorders>
              <w:top w:val="single" w:sz="4" w:space="0" w:color="auto"/>
              <w:left w:val="nil"/>
              <w:bottom w:val="nil"/>
              <w:right w:val="single" w:sz="4" w:space="0" w:color="FFFFFF"/>
            </w:tcBorders>
            <w:shd w:val="clear" w:color="000000" w:fill="1F497D"/>
            <w:tcMar>
              <w:left w:w="43" w:type="dxa"/>
              <w:right w:w="43" w:type="dxa"/>
            </w:tcMar>
            <w:vAlign w:val="center"/>
            <w:hideMark/>
          </w:tcPr>
          <w:p w:rsidR="00475903" w:rsidRPr="00475903" w:rsidRDefault="00475903" w:rsidP="00475903">
            <w:pPr>
              <w:spacing w:after="0" w:line="240" w:lineRule="auto"/>
              <w:jc w:val="center"/>
              <w:rPr>
                <w:rFonts w:eastAsia="Times New Roman" w:cs="Arial"/>
                <w:b/>
                <w:bCs/>
                <w:color w:val="FFFFFF"/>
                <w:sz w:val="18"/>
                <w:szCs w:val="18"/>
              </w:rPr>
            </w:pPr>
            <w:r w:rsidRPr="00475903">
              <w:rPr>
                <w:rFonts w:eastAsia="Times New Roman" w:cs="Arial"/>
                <w:b/>
                <w:bCs/>
                <w:color w:val="FFFFFF"/>
                <w:sz w:val="18"/>
                <w:szCs w:val="18"/>
              </w:rPr>
              <w:t>% of Program</w:t>
            </w:r>
          </w:p>
        </w:tc>
        <w:tc>
          <w:tcPr>
            <w:tcW w:w="879" w:type="dxa"/>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475903" w:rsidRPr="00475903" w:rsidRDefault="00475903" w:rsidP="00475903">
            <w:pPr>
              <w:spacing w:after="0" w:line="240" w:lineRule="auto"/>
              <w:jc w:val="center"/>
              <w:rPr>
                <w:rFonts w:eastAsia="Times New Roman" w:cs="Arial"/>
                <w:b/>
                <w:bCs/>
                <w:color w:val="FFFFFF"/>
                <w:sz w:val="18"/>
                <w:szCs w:val="18"/>
              </w:rPr>
            </w:pPr>
            <w:r w:rsidRPr="00475903">
              <w:rPr>
                <w:rFonts w:eastAsia="Times New Roman" w:cs="Arial"/>
                <w:b/>
                <w:bCs/>
                <w:color w:val="FFFFFF"/>
                <w:sz w:val="18"/>
                <w:szCs w:val="18"/>
              </w:rPr>
              <w:t>Aggregate Reference Load</w:t>
            </w:r>
          </w:p>
        </w:tc>
        <w:tc>
          <w:tcPr>
            <w:tcW w:w="745" w:type="dxa"/>
            <w:tcBorders>
              <w:top w:val="single" w:sz="4" w:space="0" w:color="auto"/>
              <w:left w:val="nil"/>
              <w:bottom w:val="nil"/>
              <w:right w:val="single" w:sz="4" w:space="0" w:color="FFFFFF"/>
            </w:tcBorders>
            <w:shd w:val="clear" w:color="000000" w:fill="1F497D"/>
            <w:tcMar>
              <w:left w:w="43" w:type="dxa"/>
              <w:right w:w="43" w:type="dxa"/>
            </w:tcMar>
            <w:vAlign w:val="center"/>
            <w:hideMark/>
          </w:tcPr>
          <w:p w:rsidR="00475903" w:rsidRPr="00475903" w:rsidRDefault="00475903" w:rsidP="00475903">
            <w:pPr>
              <w:spacing w:after="0" w:line="240" w:lineRule="auto"/>
              <w:jc w:val="center"/>
              <w:rPr>
                <w:rFonts w:eastAsia="Times New Roman" w:cs="Arial"/>
                <w:b/>
                <w:bCs/>
                <w:color w:val="FFFFFF"/>
                <w:sz w:val="18"/>
                <w:szCs w:val="18"/>
              </w:rPr>
            </w:pPr>
            <w:r w:rsidRPr="00475903">
              <w:rPr>
                <w:rFonts w:eastAsia="Times New Roman" w:cs="Arial"/>
                <w:b/>
                <w:bCs/>
                <w:color w:val="FFFFFF"/>
                <w:sz w:val="18"/>
                <w:szCs w:val="18"/>
              </w:rPr>
              <w:t>% of Program</w:t>
            </w:r>
          </w:p>
        </w:tc>
        <w:tc>
          <w:tcPr>
            <w:tcW w:w="879" w:type="dxa"/>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475903" w:rsidRPr="00475903" w:rsidRDefault="00475903" w:rsidP="00475903">
            <w:pPr>
              <w:spacing w:after="0" w:line="240" w:lineRule="auto"/>
              <w:jc w:val="center"/>
              <w:rPr>
                <w:rFonts w:eastAsia="Times New Roman" w:cs="Arial"/>
                <w:b/>
                <w:bCs/>
                <w:color w:val="FFFFFF"/>
                <w:sz w:val="18"/>
                <w:szCs w:val="18"/>
              </w:rPr>
            </w:pPr>
            <w:r w:rsidRPr="00475903">
              <w:rPr>
                <w:rFonts w:eastAsia="Times New Roman" w:cs="Arial"/>
                <w:b/>
                <w:bCs/>
                <w:color w:val="FFFFFF"/>
                <w:sz w:val="18"/>
                <w:szCs w:val="18"/>
              </w:rPr>
              <w:t>Aggregate Impact</w:t>
            </w:r>
          </w:p>
        </w:tc>
        <w:tc>
          <w:tcPr>
            <w:tcW w:w="745" w:type="dxa"/>
            <w:tcBorders>
              <w:top w:val="single" w:sz="4" w:space="0" w:color="auto"/>
              <w:left w:val="nil"/>
              <w:bottom w:val="nil"/>
              <w:right w:val="single" w:sz="4" w:space="0" w:color="FFFFFF"/>
            </w:tcBorders>
            <w:shd w:val="clear" w:color="000000" w:fill="1F497D"/>
            <w:tcMar>
              <w:left w:w="43" w:type="dxa"/>
              <w:right w:w="43" w:type="dxa"/>
            </w:tcMar>
            <w:vAlign w:val="center"/>
            <w:hideMark/>
          </w:tcPr>
          <w:p w:rsidR="00475903" w:rsidRPr="00475903" w:rsidRDefault="00475903" w:rsidP="00475903">
            <w:pPr>
              <w:spacing w:after="0" w:line="240" w:lineRule="auto"/>
              <w:jc w:val="center"/>
              <w:rPr>
                <w:rFonts w:eastAsia="Times New Roman" w:cs="Arial"/>
                <w:b/>
                <w:bCs/>
                <w:color w:val="FFFFFF"/>
                <w:sz w:val="18"/>
                <w:szCs w:val="18"/>
              </w:rPr>
            </w:pPr>
            <w:r w:rsidRPr="00475903">
              <w:rPr>
                <w:rFonts w:eastAsia="Times New Roman" w:cs="Arial"/>
                <w:b/>
                <w:bCs/>
                <w:color w:val="FFFFFF"/>
                <w:sz w:val="18"/>
                <w:szCs w:val="18"/>
              </w:rPr>
              <w:t>% of Program</w:t>
            </w:r>
          </w:p>
        </w:tc>
        <w:tc>
          <w:tcPr>
            <w:tcW w:w="869" w:type="dxa"/>
            <w:vMerge w:val="restart"/>
            <w:tcBorders>
              <w:top w:val="single" w:sz="4" w:space="0" w:color="auto"/>
              <w:left w:val="single" w:sz="4" w:space="0" w:color="FFFFFF"/>
              <w:bottom w:val="single" w:sz="4" w:space="0" w:color="000000"/>
              <w:right w:val="single" w:sz="4" w:space="0" w:color="FFFFFF"/>
            </w:tcBorders>
            <w:shd w:val="clear" w:color="000000" w:fill="1F497D"/>
            <w:tcMar>
              <w:left w:w="43" w:type="dxa"/>
              <w:right w:w="43" w:type="dxa"/>
            </w:tcMar>
            <w:vAlign w:val="center"/>
            <w:hideMark/>
          </w:tcPr>
          <w:p w:rsidR="00475903" w:rsidRPr="00475903" w:rsidRDefault="00475903" w:rsidP="00475903">
            <w:pPr>
              <w:spacing w:after="0" w:line="240" w:lineRule="auto"/>
              <w:jc w:val="center"/>
              <w:rPr>
                <w:rFonts w:eastAsia="Times New Roman" w:cs="Arial"/>
                <w:b/>
                <w:bCs/>
                <w:color w:val="FFFFFF"/>
                <w:sz w:val="18"/>
                <w:szCs w:val="18"/>
              </w:rPr>
            </w:pPr>
            <w:r w:rsidRPr="00475903">
              <w:rPr>
                <w:rFonts w:eastAsia="Times New Roman" w:cs="Arial"/>
                <w:b/>
                <w:bCs/>
                <w:color w:val="FFFFFF"/>
                <w:sz w:val="18"/>
                <w:szCs w:val="18"/>
              </w:rPr>
              <w:t>% Reduction</w:t>
            </w:r>
          </w:p>
        </w:tc>
        <w:tc>
          <w:tcPr>
            <w:tcW w:w="1002" w:type="dxa"/>
            <w:vMerge w:val="restart"/>
            <w:tcBorders>
              <w:top w:val="single" w:sz="4" w:space="0" w:color="auto"/>
              <w:left w:val="single" w:sz="4" w:space="0" w:color="FFFFFF"/>
              <w:bottom w:val="single" w:sz="4" w:space="0" w:color="000000"/>
              <w:right w:val="single" w:sz="4" w:space="0" w:color="auto"/>
            </w:tcBorders>
            <w:shd w:val="clear" w:color="000000" w:fill="1F497D"/>
            <w:tcMar>
              <w:left w:w="43" w:type="dxa"/>
              <w:right w:w="43" w:type="dxa"/>
            </w:tcMar>
            <w:vAlign w:val="center"/>
            <w:hideMark/>
          </w:tcPr>
          <w:p w:rsidR="00475903" w:rsidRPr="00475903" w:rsidRDefault="00475903" w:rsidP="00475903">
            <w:pPr>
              <w:spacing w:after="0" w:line="240" w:lineRule="auto"/>
              <w:jc w:val="center"/>
              <w:rPr>
                <w:rFonts w:eastAsia="Times New Roman" w:cs="Arial"/>
                <w:b/>
                <w:bCs/>
                <w:color w:val="FFFFFF"/>
                <w:sz w:val="18"/>
                <w:szCs w:val="18"/>
              </w:rPr>
            </w:pPr>
            <w:r w:rsidRPr="00475903">
              <w:rPr>
                <w:rFonts w:eastAsia="Times New Roman" w:cs="Arial"/>
                <w:b/>
                <w:bCs/>
                <w:color w:val="FFFFFF"/>
                <w:sz w:val="18"/>
                <w:szCs w:val="18"/>
              </w:rPr>
              <w:t>Stat. Significant?</w:t>
            </w:r>
          </w:p>
        </w:tc>
      </w:tr>
      <w:tr w:rsidR="00475903" w:rsidRPr="00475903" w:rsidTr="00475903">
        <w:trPr>
          <w:trHeight w:val="300"/>
        </w:trPr>
        <w:tc>
          <w:tcPr>
            <w:tcW w:w="2766" w:type="dxa"/>
            <w:vMerge/>
            <w:tcBorders>
              <w:top w:val="single" w:sz="4" w:space="0" w:color="auto"/>
              <w:left w:val="single" w:sz="4" w:space="0" w:color="auto"/>
              <w:bottom w:val="single" w:sz="4" w:space="0" w:color="000000"/>
              <w:right w:val="single" w:sz="4" w:space="0" w:color="FFFFFF"/>
            </w:tcBorders>
            <w:tcMar>
              <w:left w:w="43" w:type="dxa"/>
              <w:right w:w="43" w:type="dxa"/>
            </w:tcMar>
            <w:vAlign w:val="center"/>
            <w:hideMark/>
          </w:tcPr>
          <w:p w:rsidR="00475903" w:rsidRPr="00475903" w:rsidRDefault="00475903" w:rsidP="00475903">
            <w:pPr>
              <w:spacing w:after="0" w:line="240" w:lineRule="auto"/>
              <w:rPr>
                <w:rFonts w:eastAsia="Times New Roman" w:cs="Arial"/>
                <w:b/>
                <w:bCs/>
                <w:color w:val="FFFFFF"/>
                <w:sz w:val="18"/>
                <w:szCs w:val="18"/>
              </w:rPr>
            </w:pPr>
          </w:p>
        </w:tc>
        <w:tc>
          <w:tcPr>
            <w:tcW w:w="816" w:type="dxa"/>
            <w:tcBorders>
              <w:top w:val="nil"/>
              <w:left w:val="nil"/>
              <w:bottom w:val="single" w:sz="4" w:space="0" w:color="auto"/>
              <w:right w:val="single" w:sz="4" w:space="0" w:color="FFFFFF"/>
            </w:tcBorders>
            <w:shd w:val="clear" w:color="000000" w:fill="1F497D"/>
            <w:tcMar>
              <w:left w:w="43" w:type="dxa"/>
              <w:right w:w="43" w:type="dxa"/>
            </w:tcMar>
            <w:vAlign w:val="center"/>
            <w:hideMark/>
          </w:tcPr>
          <w:p w:rsidR="00475903" w:rsidRPr="00475903" w:rsidRDefault="00475903" w:rsidP="00475903">
            <w:pPr>
              <w:spacing w:after="0" w:line="240" w:lineRule="auto"/>
              <w:jc w:val="center"/>
              <w:rPr>
                <w:rFonts w:eastAsia="Times New Roman" w:cs="Arial"/>
                <w:b/>
                <w:bCs/>
                <w:color w:val="FFFFFF"/>
                <w:sz w:val="18"/>
                <w:szCs w:val="18"/>
              </w:rPr>
            </w:pPr>
            <w:r w:rsidRPr="00475903">
              <w:rPr>
                <w:rFonts w:eastAsia="Times New Roman" w:cs="Arial"/>
                <w:b/>
                <w:bCs/>
                <w:color w:val="FFFFFF"/>
                <w:sz w:val="18"/>
                <w:szCs w:val="18"/>
              </w:rPr>
              <w:t> </w:t>
            </w:r>
          </w:p>
        </w:tc>
        <w:tc>
          <w:tcPr>
            <w:tcW w:w="745" w:type="dxa"/>
            <w:tcBorders>
              <w:top w:val="nil"/>
              <w:left w:val="nil"/>
              <w:bottom w:val="single" w:sz="4" w:space="0" w:color="auto"/>
              <w:right w:val="single" w:sz="4" w:space="0" w:color="FFFFFF"/>
            </w:tcBorders>
            <w:shd w:val="clear" w:color="000000" w:fill="1F497D"/>
            <w:tcMar>
              <w:left w:w="43" w:type="dxa"/>
              <w:right w:w="43" w:type="dxa"/>
            </w:tcMar>
            <w:vAlign w:val="center"/>
            <w:hideMark/>
          </w:tcPr>
          <w:p w:rsidR="00475903" w:rsidRPr="00475903" w:rsidRDefault="00475903" w:rsidP="00475903">
            <w:pPr>
              <w:spacing w:after="0" w:line="240" w:lineRule="auto"/>
              <w:jc w:val="center"/>
              <w:rPr>
                <w:rFonts w:eastAsia="Times New Roman" w:cs="Arial"/>
                <w:b/>
                <w:bCs/>
                <w:color w:val="FFFFFF"/>
                <w:sz w:val="18"/>
                <w:szCs w:val="18"/>
              </w:rPr>
            </w:pPr>
            <w:r w:rsidRPr="00475903">
              <w:rPr>
                <w:rFonts w:eastAsia="Times New Roman" w:cs="Arial"/>
                <w:b/>
                <w:bCs/>
                <w:color w:val="FFFFFF"/>
                <w:sz w:val="18"/>
                <w:szCs w:val="18"/>
              </w:rPr>
              <w:t> </w:t>
            </w:r>
          </w:p>
        </w:tc>
        <w:tc>
          <w:tcPr>
            <w:tcW w:w="879" w:type="dxa"/>
            <w:tcBorders>
              <w:top w:val="nil"/>
              <w:left w:val="nil"/>
              <w:bottom w:val="single" w:sz="4" w:space="0" w:color="auto"/>
              <w:right w:val="single" w:sz="4" w:space="0" w:color="FFFFFF"/>
            </w:tcBorders>
            <w:shd w:val="clear" w:color="000000" w:fill="1F497D"/>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FFFFFF"/>
                <w:sz w:val="18"/>
                <w:szCs w:val="18"/>
              </w:rPr>
            </w:pPr>
            <w:r w:rsidRPr="00475903">
              <w:rPr>
                <w:rFonts w:eastAsia="Times New Roman" w:cs="Arial"/>
                <w:color w:val="FFFFFF"/>
                <w:sz w:val="18"/>
                <w:szCs w:val="18"/>
              </w:rPr>
              <w:t>(MW)</w:t>
            </w:r>
          </w:p>
        </w:tc>
        <w:tc>
          <w:tcPr>
            <w:tcW w:w="745" w:type="dxa"/>
            <w:tcBorders>
              <w:top w:val="nil"/>
              <w:left w:val="nil"/>
              <w:bottom w:val="single" w:sz="4" w:space="0" w:color="auto"/>
              <w:right w:val="single" w:sz="4" w:space="0" w:color="FFFFFF"/>
            </w:tcBorders>
            <w:shd w:val="clear" w:color="000000" w:fill="1F497D"/>
            <w:tcMar>
              <w:left w:w="43" w:type="dxa"/>
              <w:right w:w="43" w:type="dxa"/>
            </w:tcMar>
            <w:vAlign w:val="center"/>
            <w:hideMark/>
          </w:tcPr>
          <w:p w:rsidR="00475903" w:rsidRPr="00475903" w:rsidRDefault="00475903" w:rsidP="00475903">
            <w:pPr>
              <w:spacing w:after="0" w:line="240" w:lineRule="auto"/>
              <w:jc w:val="center"/>
              <w:rPr>
                <w:rFonts w:eastAsia="Times New Roman" w:cs="Arial"/>
                <w:b/>
                <w:bCs/>
                <w:color w:val="FFFFFF"/>
                <w:sz w:val="18"/>
                <w:szCs w:val="18"/>
              </w:rPr>
            </w:pPr>
            <w:r w:rsidRPr="00475903">
              <w:rPr>
                <w:rFonts w:eastAsia="Times New Roman" w:cs="Arial"/>
                <w:b/>
                <w:bCs/>
                <w:color w:val="FFFFFF"/>
                <w:sz w:val="18"/>
                <w:szCs w:val="18"/>
              </w:rPr>
              <w:t> </w:t>
            </w:r>
          </w:p>
        </w:tc>
        <w:tc>
          <w:tcPr>
            <w:tcW w:w="879" w:type="dxa"/>
            <w:tcBorders>
              <w:top w:val="nil"/>
              <w:left w:val="nil"/>
              <w:bottom w:val="single" w:sz="4" w:space="0" w:color="auto"/>
              <w:right w:val="single" w:sz="4" w:space="0" w:color="FFFFFF"/>
            </w:tcBorders>
            <w:shd w:val="clear" w:color="000000" w:fill="1F497D"/>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FFFFFF"/>
                <w:sz w:val="18"/>
                <w:szCs w:val="18"/>
              </w:rPr>
            </w:pPr>
            <w:r w:rsidRPr="00475903">
              <w:rPr>
                <w:rFonts w:eastAsia="Times New Roman" w:cs="Arial"/>
                <w:color w:val="FFFFFF"/>
                <w:sz w:val="18"/>
                <w:szCs w:val="18"/>
              </w:rPr>
              <w:t>(kW)</w:t>
            </w:r>
          </w:p>
        </w:tc>
        <w:tc>
          <w:tcPr>
            <w:tcW w:w="745" w:type="dxa"/>
            <w:tcBorders>
              <w:top w:val="nil"/>
              <w:left w:val="nil"/>
              <w:bottom w:val="single" w:sz="4" w:space="0" w:color="auto"/>
              <w:right w:val="single" w:sz="4" w:space="0" w:color="FFFFFF"/>
            </w:tcBorders>
            <w:shd w:val="clear" w:color="000000" w:fill="1F497D"/>
            <w:tcMar>
              <w:left w:w="43" w:type="dxa"/>
              <w:right w:w="43" w:type="dxa"/>
            </w:tcMar>
            <w:vAlign w:val="center"/>
            <w:hideMark/>
          </w:tcPr>
          <w:p w:rsidR="00475903" w:rsidRPr="00475903" w:rsidRDefault="00475903" w:rsidP="00475903">
            <w:pPr>
              <w:spacing w:after="0" w:line="240" w:lineRule="auto"/>
              <w:jc w:val="center"/>
              <w:rPr>
                <w:rFonts w:eastAsia="Times New Roman" w:cs="Arial"/>
                <w:b/>
                <w:bCs/>
                <w:color w:val="FFFFFF"/>
                <w:sz w:val="18"/>
                <w:szCs w:val="18"/>
              </w:rPr>
            </w:pPr>
            <w:r w:rsidRPr="00475903">
              <w:rPr>
                <w:rFonts w:eastAsia="Times New Roman" w:cs="Arial"/>
                <w:b/>
                <w:bCs/>
                <w:color w:val="FFFFFF"/>
                <w:sz w:val="18"/>
                <w:szCs w:val="18"/>
              </w:rPr>
              <w:t> </w:t>
            </w:r>
          </w:p>
        </w:tc>
        <w:tc>
          <w:tcPr>
            <w:tcW w:w="869" w:type="dxa"/>
            <w:vMerge/>
            <w:tcBorders>
              <w:top w:val="single" w:sz="4" w:space="0" w:color="auto"/>
              <w:left w:val="single" w:sz="4" w:space="0" w:color="FFFFFF"/>
              <w:bottom w:val="single" w:sz="4" w:space="0" w:color="000000"/>
              <w:right w:val="single" w:sz="4" w:space="0" w:color="FFFFFF"/>
            </w:tcBorders>
            <w:tcMar>
              <w:left w:w="43" w:type="dxa"/>
              <w:right w:w="43" w:type="dxa"/>
            </w:tcMar>
            <w:vAlign w:val="center"/>
            <w:hideMark/>
          </w:tcPr>
          <w:p w:rsidR="00475903" w:rsidRPr="00475903" w:rsidRDefault="00475903" w:rsidP="00475903">
            <w:pPr>
              <w:spacing w:after="0" w:line="240" w:lineRule="auto"/>
              <w:rPr>
                <w:rFonts w:eastAsia="Times New Roman" w:cs="Arial"/>
                <w:b/>
                <w:bCs/>
                <w:color w:val="FFFFFF"/>
                <w:sz w:val="18"/>
                <w:szCs w:val="18"/>
              </w:rPr>
            </w:pPr>
          </w:p>
        </w:tc>
        <w:tc>
          <w:tcPr>
            <w:tcW w:w="1002" w:type="dxa"/>
            <w:vMerge/>
            <w:tcBorders>
              <w:top w:val="single" w:sz="4" w:space="0" w:color="auto"/>
              <w:left w:val="single" w:sz="4" w:space="0" w:color="FFFFFF"/>
              <w:bottom w:val="single" w:sz="4" w:space="0" w:color="000000"/>
              <w:right w:val="single" w:sz="4" w:space="0" w:color="auto"/>
            </w:tcBorders>
            <w:tcMar>
              <w:left w:w="43" w:type="dxa"/>
              <w:right w:w="43" w:type="dxa"/>
            </w:tcMar>
            <w:vAlign w:val="center"/>
            <w:hideMark/>
          </w:tcPr>
          <w:p w:rsidR="00475903" w:rsidRPr="00475903" w:rsidRDefault="00475903" w:rsidP="00475903">
            <w:pPr>
              <w:spacing w:after="0" w:line="240" w:lineRule="auto"/>
              <w:rPr>
                <w:rFonts w:eastAsia="Times New Roman" w:cs="Arial"/>
                <w:b/>
                <w:bCs/>
                <w:color w:val="FFFFFF"/>
                <w:sz w:val="18"/>
                <w:szCs w:val="18"/>
              </w:rPr>
            </w:pPr>
          </w:p>
        </w:tc>
      </w:tr>
      <w:tr w:rsidR="00475903" w:rsidRPr="00475903" w:rsidTr="00475903">
        <w:trPr>
          <w:trHeight w:val="360"/>
        </w:trPr>
        <w:tc>
          <w:tcPr>
            <w:tcW w:w="276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Manufacturing</w:t>
            </w:r>
          </w:p>
        </w:tc>
        <w:tc>
          <w:tcPr>
            <w:tcW w:w="81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309</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19.0%</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98.9</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22.6%</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11.4</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38.6%</w:t>
            </w:r>
          </w:p>
        </w:tc>
        <w:tc>
          <w:tcPr>
            <w:tcW w:w="86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11.6%</w:t>
            </w:r>
          </w:p>
        </w:tc>
        <w:tc>
          <w:tcPr>
            <w:tcW w:w="100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Yes</w:t>
            </w:r>
          </w:p>
        </w:tc>
      </w:tr>
      <w:tr w:rsidR="00475903" w:rsidRPr="00475903" w:rsidTr="00475903">
        <w:trPr>
          <w:trHeight w:val="360"/>
        </w:trPr>
        <w:tc>
          <w:tcPr>
            <w:tcW w:w="276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Wholesale, Transport &amp; Other Utilities</w:t>
            </w:r>
          </w:p>
        </w:tc>
        <w:tc>
          <w:tcPr>
            <w:tcW w:w="81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234</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14.4%</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50.8</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11.6%</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10.6</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35.7%</w:t>
            </w:r>
          </w:p>
        </w:tc>
        <w:tc>
          <w:tcPr>
            <w:tcW w:w="86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20.8%</w:t>
            </w:r>
          </w:p>
        </w:tc>
        <w:tc>
          <w:tcPr>
            <w:tcW w:w="100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Yes</w:t>
            </w:r>
          </w:p>
        </w:tc>
      </w:tr>
      <w:tr w:rsidR="00475903" w:rsidRPr="00475903" w:rsidTr="00475903">
        <w:trPr>
          <w:trHeight w:val="360"/>
        </w:trPr>
        <w:tc>
          <w:tcPr>
            <w:tcW w:w="276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Agriculture, Mining &amp; Construction</w:t>
            </w:r>
          </w:p>
        </w:tc>
        <w:tc>
          <w:tcPr>
            <w:tcW w:w="81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130</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8.0%</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27.6</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6.3%</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3.8</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12.8%</w:t>
            </w:r>
          </w:p>
        </w:tc>
        <w:tc>
          <w:tcPr>
            <w:tcW w:w="86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13.7%</w:t>
            </w:r>
          </w:p>
        </w:tc>
        <w:tc>
          <w:tcPr>
            <w:tcW w:w="100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Yes</w:t>
            </w:r>
          </w:p>
        </w:tc>
      </w:tr>
      <w:tr w:rsidR="00475903" w:rsidRPr="00475903" w:rsidTr="00475903">
        <w:trPr>
          <w:trHeight w:val="360"/>
        </w:trPr>
        <w:tc>
          <w:tcPr>
            <w:tcW w:w="276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Offices, Hotels, Finance, Services</w:t>
            </w:r>
          </w:p>
        </w:tc>
        <w:tc>
          <w:tcPr>
            <w:tcW w:w="81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441</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27.1%</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156.8</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35.9%</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2.8</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9.5%</w:t>
            </w:r>
          </w:p>
        </w:tc>
        <w:tc>
          <w:tcPr>
            <w:tcW w:w="86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1.8%</w:t>
            </w:r>
          </w:p>
        </w:tc>
        <w:tc>
          <w:tcPr>
            <w:tcW w:w="100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Yes</w:t>
            </w:r>
          </w:p>
        </w:tc>
      </w:tr>
      <w:tr w:rsidR="00475903" w:rsidRPr="00475903" w:rsidTr="00475903">
        <w:trPr>
          <w:trHeight w:val="360"/>
        </w:trPr>
        <w:tc>
          <w:tcPr>
            <w:tcW w:w="276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Retail Stores</w:t>
            </w:r>
          </w:p>
        </w:tc>
        <w:tc>
          <w:tcPr>
            <w:tcW w:w="81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77</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4.7%</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19.2</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4.4%</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0.8</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2.6%</w:t>
            </w:r>
          </w:p>
        </w:tc>
        <w:tc>
          <w:tcPr>
            <w:tcW w:w="86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4.0%</w:t>
            </w:r>
          </w:p>
        </w:tc>
        <w:tc>
          <w:tcPr>
            <w:tcW w:w="100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Yes</w:t>
            </w:r>
          </w:p>
        </w:tc>
      </w:tr>
      <w:tr w:rsidR="00475903" w:rsidRPr="00475903" w:rsidTr="00475903">
        <w:trPr>
          <w:trHeight w:val="360"/>
        </w:trPr>
        <w:tc>
          <w:tcPr>
            <w:tcW w:w="276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Institutional/Government</w:t>
            </w:r>
          </w:p>
        </w:tc>
        <w:tc>
          <w:tcPr>
            <w:tcW w:w="81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132</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8.1%</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36.3</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8.3%</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0.7</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2.3%</w:t>
            </w:r>
          </w:p>
        </w:tc>
        <w:tc>
          <w:tcPr>
            <w:tcW w:w="86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1.9%</w:t>
            </w:r>
          </w:p>
        </w:tc>
        <w:tc>
          <w:tcPr>
            <w:tcW w:w="100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Yes</w:t>
            </w:r>
          </w:p>
        </w:tc>
      </w:tr>
      <w:tr w:rsidR="00475903" w:rsidRPr="00475903" w:rsidTr="00475903">
        <w:trPr>
          <w:trHeight w:val="360"/>
        </w:trPr>
        <w:tc>
          <w:tcPr>
            <w:tcW w:w="276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Schools</w:t>
            </w:r>
          </w:p>
        </w:tc>
        <w:tc>
          <w:tcPr>
            <w:tcW w:w="81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271</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16.7%</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40.6</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9.3%</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0.3</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1.0%</w:t>
            </w:r>
          </w:p>
        </w:tc>
        <w:tc>
          <w:tcPr>
            <w:tcW w:w="86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0.7%</w:t>
            </w:r>
          </w:p>
        </w:tc>
        <w:tc>
          <w:tcPr>
            <w:tcW w:w="100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No</w:t>
            </w:r>
          </w:p>
        </w:tc>
      </w:tr>
      <w:tr w:rsidR="00475903" w:rsidRPr="00475903" w:rsidTr="00475903">
        <w:trPr>
          <w:trHeight w:val="360"/>
        </w:trPr>
        <w:tc>
          <w:tcPr>
            <w:tcW w:w="2766"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Other or Unknown</w:t>
            </w:r>
          </w:p>
        </w:tc>
        <w:tc>
          <w:tcPr>
            <w:tcW w:w="81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33</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2.1%</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6.5</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1.5%</w:t>
            </w:r>
          </w:p>
        </w:tc>
        <w:tc>
          <w:tcPr>
            <w:tcW w:w="87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w:t>
            </w:r>
          </w:p>
        </w:tc>
        <w:tc>
          <w:tcPr>
            <w:tcW w:w="74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-2.4%</w:t>
            </w:r>
          </w:p>
        </w:tc>
        <w:tc>
          <w:tcPr>
            <w:tcW w:w="86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-10.8%</w:t>
            </w:r>
          </w:p>
        </w:tc>
        <w:tc>
          <w:tcPr>
            <w:tcW w:w="100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475903" w:rsidRPr="00475903" w:rsidRDefault="00475903" w:rsidP="00475903">
            <w:pPr>
              <w:spacing w:after="0" w:line="240" w:lineRule="auto"/>
              <w:jc w:val="center"/>
              <w:rPr>
                <w:rFonts w:eastAsia="Times New Roman" w:cs="Arial"/>
                <w:color w:val="000000"/>
                <w:sz w:val="18"/>
                <w:szCs w:val="18"/>
              </w:rPr>
            </w:pPr>
            <w:r w:rsidRPr="00475903">
              <w:rPr>
                <w:rFonts w:eastAsia="Times New Roman" w:cs="Arial"/>
                <w:color w:val="000000"/>
                <w:sz w:val="18"/>
                <w:szCs w:val="18"/>
              </w:rPr>
              <w:t>No</w:t>
            </w:r>
          </w:p>
        </w:tc>
      </w:tr>
    </w:tbl>
    <w:p w:rsidR="006541B9" w:rsidRPr="00D963CC" w:rsidRDefault="006541B9" w:rsidP="00357401">
      <w:pPr>
        <w:pStyle w:val="BodyParagraph"/>
        <w:jc w:val="center"/>
        <w:rPr>
          <w:b/>
          <w:sz w:val="20"/>
          <w:szCs w:val="20"/>
        </w:rPr>
      </w:pPr>
    </w:p>
    <w:p w:rsidR="0098736A" w:rsidRPr="00D963CC" w:rsidRDefault="0098736A" w:rsidP="0002103E">
      <w:pPr>
        <w:pStyle w:val="TableFigureCaption"/>
      </w:pPr>
      <w:r w:rsidRPr="00D963CC">
        <w:lastRenderedPageBreak/>
        <w:t>Figure 4-3: Estimated Enrollment, Load Impacts and</w:t>
      </w:r>
      <w:r w:rsidR="00057782">
        <w:t xml:space="preserve"> </w:t>
      </w:r>
      <w:r w:rsidR="00A51E49">
        <w:t>Percent</w:t>
      </w:r>
      <w:r w:rsidRPr="00D963CC">
        <w:t xml:space="preserve"> Load Reduction by Industry</w:t>
      </w:r>
      <w:r w:rsidRPr="00D963CC">
        <w:br/>
        <w:t>Average 2012 PG&amp;E CPP Event</w:t>
      </w:r>
    </w:p>
    <w:p w:rsidR="00557E13" w:rsidRDefault="00475903" w:rsidP="00357401">
      <w:pPr>
        <w:pStyle w:val="BodyParagraph"/>
        <w:jc w:val="center"/>
        <w:rPr>
          <w:b/>
        </w:rPr>
      </w:pPr>
      <w:r w:rsidRPr="00475903">
        <w:drawing>
          <wp:inline distT="0" distB="0" distL="0" distR="0" wp14:anchorId="4605F9C9" wp14:editId="6E4C72BA">
            <wp:extent cx="5943600" cy="3713189"/>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3713189"/>
                    </a:xfrm>
                    <a:prstGeom prst="rect">
                      <a:avLst/>
                    </a:prstGeom>
                    <a:noFill/>
                    <a:ln>
                      <a:noFill/>
                    </a:ln>
                  </pic:spPr>
                </pic:pic>
              </a:graphicData>
            </a:graphic>
          </wp:inline>
        </w:drawing>
      </w:r>
    </w:p>
    <w:p w:rsidR="00AD6E36" w:rsidRDefault="00AD6E36" w:rsidP="0002103E">
      <w:pPr>
        <w:pStyle w:val="Heading2"/>
        <w:spacing w:before="360"/>
      </w:pPr>
      <w:bookmarkStart w:id="88" w:name="_Toc326072108"/>
      <w:bookmarkStart w:id="89" w:name="_Toc352323633"/>
      <w:r w:rsidRPr="00AD6E36">
        <w:t>Load</w:t>
      </w:r>
      <w:r>
        <w:t xml:space="preserve"> Impacts by Local Capacity Area</w:t>
      </w:r>
      <w:bookmarkEnd w:id="88"/>
      <w:bookmarkEnd w:id="89"/>
    </w:p>
    <w:p w:rsidR="00965107" w:rsidRDefault="00965107" w:rsidP="00965107">
      <w:pPr>
        <w:pStyle w:val="BodyParagraph"/>
      </w:pPr>
      <w:r>
        <w:t>PG&amp;E</w:t>
      </w:r>
      <w:r w:rsidRPr="00E84E74">
        <w:t xml:space="preserve"> is compr</w:t>
      </w:r>
      <w:r>
        <w:t>ised of seven</w:t>
      </w:r>
      <w:r w:rsidRPr="00E84E74">
        <w:t xml:space="preserve"> geographic planning zones known as local capacity areas (LCAs).  </w:t>
      </w:r>
      <w:r>
        <w:t xml:space="preserve">An eighth region, designated </w:t>
      </w:r>
      <w:r>
        <w:t>as Other, is comprised of customers that are not located in any of the seven LCAs.  The ex ante load impacts differ</w:t>
      </w:r>
      <w:r w:rsidRPr="00E84E74">
        <w:t xml:space="preserve"> </w:t>
      </w:r>
      <w:r>
        <w:t xml:space="preserve">by geographic location due to differences in the total population, industry mix and, to a lesser extent, climate. </w:t>
      </w:r>
    </w:p>
    <w:p w:rsidR="0002103E" w:rsidRDefault="00CC2111" w:rsidP="00CC2111">
      <w:pPr>
        <w:pStyle w:val="BodyParagraph"/>
      </w:pPr>
      <w:r>
        <w:t>Table 4-3</w:t>
      </w:r>
      <w:r w:rsidR="00AD6E36">
        <w:t xml:space="preserve"> </w:t>
      </w:r>
      <w:r w:rsidR="00C4679B">
        <w:t>presents</w:t>
      </w:r>
      <w:r w:rsidR="00AD6E36">
        <w:t xml:space="preserve"> the estimated ex post load impacts by local capacity area</w:t>
      </w:r>
      <w:r w:rsidR="002A5CA4">
        <w:t xml:space="preserve"> (LCA)</w:t>
      </w:r>
      <w:r w:rsidR="00AD6E36">
        <w:t xml:space="preserve">.  </w:t>
      </w:r>
      <w:r w:rsidR="002A5CA4">
        <w:t>P</w:t>
      </w:r>
      <w:r w:rsidR="00AD6E36">
        <w:t>articipants in</w:t>
      </w:r>
      <w:r w:rsidR="002A5CA4">
        <w:t xml:space="preserve"> the Greater Bay Area provided 1</w:t>
      </w:r>
      <w:r w:rsidR="009816E0">
        <w:t>0.</w:t>
      </w:r>
      <w:r w:rsidR="00175FFC">
        <w:t>7</w:t>
      </w:r>
      <w:r w:rsidR="00AD6E36">
        <w:t xml:space="preserve"> MW of aggregate load impact</w:t>
      </w:r>
      <w:r w:rsidR="002A5CA4">
        <w:t xml:space="preserve"> </w:t>
      </w:r>
      <w:r w:rsidR="006A662D">
        <w:t>during the average event day</w:t>
      </w:r>
      <w:r w:rsidR="00AD6E36">
        <w:t xml:space="preserve">, </w:t>
      </w:r>
      <w:r w:rsidR="00AD6E36" w:rsidRPr="00347352">
        <w:t>while customers in the O</w:t>
      </w:r>
      <w:r w:rsidR="006A662D" w:rsidRPr="00347352">
        <w:t xml:space="preserve">ther LCA </w:t>
      </w:r>
      <w:r>
        <w:t xml:space="preserve">category </w:t>
      </w:r>
      <w:r w:rsidR="006A662D" w:rsidRPr="00347352">
        <w:t xml:space="preserve">provided </w:t>
      </w:r>
      <w:r w:rsidR="00C4679B" w:rsidRPr="00347352">
        <w:t>6.</w:t>
      </w:r>
      <w:r w:rsidR="00175FFC">
        <w:t>8</w:t>
      </w:r>
      <w:r w:rsidR="00AD6E36" w:rsidRPr="00347352">
        <w:t xml:space="preserve"> MW of aggregate load </w:t>
      </w:r>
      <w:r>
        <w:t xml:space="preserve">reduction.  </w:t>
      </w:r>
      <w:r w:rsidR="00A51E49">
        <w:t>Combined, t</w:t>
      </w:r>
      <w:r>
        <w:t>hese LCAs comprise</w:t>
      </w:r>
      <w:r w:rsidR="00AD6E36" w:rsidRPr="00347352">
        <w:t xml:space="preserve"> </w:t>
      </w:r>
      <w:r w:rsidR="00C4679B" w:rsidRPr="00347352">
        <w:t>approximately 65</w:t>
      </w:r>
      <w:r w:rsidR="00AD6E36" w:rsidRPr="00347352">
        <w:t xml:space="preserve">% of the enrolled population and </w:t>
      </w:r>
      <w:r>
        <w:t>59</w:t>
      </w:r>
      <w:r w:rsidR="00C4679B" w:rsidRPr="00347352">
        <w:t xml:space="preserve">% </w:t>
      </w:r>
      <w:r w:rsidR="00A51E49">
        <w:t xml:space="preserve">of </w:t>
      </w:r>
      <w:r w:rsidR="00AD6E36" w:rsidRPr="00347352">
        <w:t>aggregate load impac</w:t>
      </w:r>
      <w:r w:rsidR="00A51E49">
        <w:t>t</w:t>
      </w:r>
      <w:r w:rsidR="00AD6E36" w:rsidRPr="00347352">
        <w:t>.  Customers</w:t>
      </w:r>
      <w:r w:rsidR="00AD6E36">
        <w:t xml:space="preserve"> in the Greater Bay Area had the highest average ref</w:t>
      </w:r>
      <w:r w:rsidR="009816E0">
        <w:t>erence load of any LCA</w:t>
      </w:r>
      <w:r w:rsidR="00A51E49">
        <w:t>,</w:t>
      </w:r>
      <w:r w:rsidR="009816E0">
        <w:t xml:space="preserve"> at 32</w:t>
      </w:r>
      <w:r w:rsidR="00175FFC">
        <w:t xml:space="preserve">3.1 </w:t>
      </w:r>
      <w:r w:rsidR="009816E0">
        <w:t>kW, while customers in the</w:t>
      </w:r>
      <w:r>
        <w:t xml:space="preserve"> Kern</w:t>
      </w:r>
      <w:r w:rsidR="00AD6E36">
        <w:t xml:space="preserve"> LCA had the lowest average reference load (1</w:t>
      </w:r>
      <w:r w:rsidR="00C4679B">
        <w:t>5</w:t>
      </w:r>
      <w:r w:rsidR="00175FFC">
        <w:t>0.6</w:t>
      </w:r>
      <w:r w:rsidR="009816E0">
        <w:t xml:space="preserve"> kW).  </w:t>
      </w:r>
      <w:r w:rsidR="00AD6E36">
        <w:t>These large differences across LCAs are almost certainly due to differences in the underlying distribution of</w:t>
      </w:r>
      <w:r w:rsidR="003E29C4">
        <w:t> </w:t>
      </w:r>
      <w:r w:rsidR="00AD6E36">
        <w:t xml:space="preserve">customers across industry segments and size strata.  </w:t>
      </w:r>
    </w:p>
    <w:p w:rsidR="0002103E" w:rsidRDefault="0002103E">
      <w:pPr>
        <w:rPr>
          <w:rFonts w:ascii="Verdana" w:hAnsi="Verdana"/>
          <w:sz w:val="18"/>
        </w:rPr>
      </w:pPr>
      <w:r>
        <w:br w:type="page"/>
      </w:r>
    </w:p>
    <w:p w:rsidR="001E3B5B" w:rsidRDefault="00CC2111" w:rsidP="00340FC0">
      <w:pPr>
        <w:pStyle w:val="TableFigureCaption"/>
        <w:contextualSpacing/>
      </w:pPr>
      <w:r w:rsidRPr="00CC2111">
        <w:lastRenderedPageBreak/>
        <w:t>Table 4-3</w:t>
      </w:r>
      <w:r w:rsidR="00C4679B" w:rsidRPr="00CC2111">
        <w:t>: Estimated Ex Post Load Impacts by LCA</w:t>
      </w:r>
    </w:p>
    <w:p w:rsidR="00AD6E36" w:rsidRDefault="00C4679B" w:rsidP="00175FFC">
      <w:pPr>
        <w:pStyle w:val="TableFigureCaption"/>
        <w:contextualSpacing/>
      </w:pPr>
      <w:r w:rsidRPr="00CC2111">
        <w:t>Average 2012 PG&amp;E CPP Event</w:t>
      </w:r>
      <w:bookmarkStart w:id="90" w:name="_Toc326072109"/>
      <w:r w:rsidR="00AD6E36">
        <w:t xml:space="preserve">Load Impacts by </w:t>
      </w:r>
      <w:r w:rsidR="00AD6E36" w:rsidRPr="00AD6E36">
        <w:t>Customer</w:t>
      </w:r>
      <w:r w:rsidR="00AD6E36">
        <w:t xml:space="preserve"> Size</w:t>
      </w:r>
      <w:bookmarkEnd w:id="90"/>
    </w:p>
    <w:tbl>
      <w:tblPr>
        <w:tblW w:w="0" w:type="auto"/>
        <w:tblLayout w:type="fixed"/>
        <w:tblLook w:val="04A0" w:firstRow="1" w:lastRow="0" w:firstColumn="1" w:lastColumn="0" w:noHBand="0" w:noVBand="1"/>
      </w:tblPr>
      <w:tblGrid>
        <w:gridCol w:w="1789"/>
        <w:gridCol w:w="915"/>
        <w:gridCol w:w="957"/>
        <w:gridCol w:w="927"/>
        <w:gridCol w:w="903"/>
        <w:gridCol w:w="977"/>
        <w:gridCol w:w="966"/>
        <w:gridCol w:w="915"/>
        <w:gridCol w:w="1097"/>
      </w:tblGrid>
      <w:tr w:rsidR="00175FFC" w:rsidRPr="00175FFC" w:rsidTr="00175FFC">
        <w:trPr>
          <w:trHeight w:val="1200"/>
        </w:trPr>
        <w:tc>
          <w:tcPr>
            <w:tcW w:w="1789" w:type="dxa"/>
            <w:vMerge w:val="restart"/>
            <w:tcBorders>
              <w:top w:val="single" w:sz="4" w:space="0" w:color="000000"/>
              <w:left w:val="single" w:sz="4" w:space="0" w:color="000000"/>
              <w:bottom w:val="single" w:sz="4" w:space="0" w:color="000000"/>
              <w:right w:val="single" w:sz="4"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Local Capacity Area</w:t>
            </w:r>
          </w:p>
        </w:tc>
        <w:tc>
          <w:tcPr>
            <w:tcW w:w="915" w:type="dxa"/>
            <w:vMerge w:val="restart"/>
            <w:tcBorders>
              <w:top w:val="single" w:sz="4" w:space="0" w:color="000000"/>
              <w:left w:val="single" w:sz="4" w:space="0" w:color="FFFFFF"/>
              <w:bottom w:val="single" w:sz="4" w:space="0" w:color="000000"/>
              <w:right w:val="single" w:sz="4"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Accounts</w:t>
            </w:r>
          </w:p>
        </w:tc>
        <w:tc>
          <w:tcPr>
            <w:tcW w:w="957" w:type="dxa"/>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Avg. Customer Reference Load</w:t>
            </w:r>
          </w:p>
        </w:tc>
        <w:tc>
          <w:tcPr>
            <w:tcW w:w="927" w:type="dxa"/>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Avg. Customer Load w/ DR</w:t>
            </w:r>
          </w:p>
        </w:tc>
        <w:tc>
          <w:tcPr>
            <w:tcW w:w="903" w:type="dxa"/>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Impact</w:t>
            </w:r>
          </w:p>
        </w:tc>
        <w:tc>
          <w:tcPr>
            <w:tcW w:w="977" w:type="dxa"/>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Aggregate Impact</w:t>
            </w:r>
          </w:p>
        </w:tc>
        <w:tc>
          <w:tcPr>
            <w:tcW w:w="966" w:type="dxa"/>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 Reduction</w:t>
            </w:r>
          </w:p>
        </w:tc>
        <w:tc>
          <w:tcPr>
            <w:tcW w:w="915" w:type="dxa"/>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Avg. Temp</w:t>
            </w:r>
          </w:p>
        </w:tc>
        <w:tc>
          <w:tcPr>
            <w:tcW w:w="1097" w:type="dxa"/>
            <w:vMerge w:val="restart"/>
            <w:tcBorders>
              <w:top w:val="single" w:sz="4" w:space="0" w:color="000000"/>
              <w:left w:val="single" w:sz="4" w:space="0" w:color="FFFFFF"/>
              <w:bottom w:val="single" w:sz="4" w:space="0" w:color="000000"/>
              <w:right w:val="single" w:sz="4" w:space="0" w:color="000000"/>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Stat. significant?</w:t>
            </w:r>
          </w:p>
        </w:tc>
      </w:tr>
      <w:tr w:rsidR="00175FFC" w:rsidRPr="00175FFC" w:rsidTr="00175FFC">
        <w:trPr>
          <w:trHeight w:val="300"/>
        </w:trPr>
        <w:tc>
          <w:tcPr>
            <w:tcW w:w="1789" w:type="dxa"/>
            <w:vMerge/>
            <w:tcBorders>
              <w:top w:val="single" w:sz="4" w:space="0" w:color="000000"/>
              <w:left w:val="single" w:sz="4" w:space="0" w:color="000000"/>
              <w:bottom w:val="single" w:sz="4" w:space="0" w:color="000000"/>
              <w:right w:val="single" w:sz="4" w:space="0" w:color="FFFFFF"/>
            </w:tcBorders>
            <w:tcMar>
              <w:left w:w="43" w:type="dxa"/>
              <w:right w:w="43" w:type="dxa"/>
            </w:tcMar>
            <w:vAlign w:val="center"/>
            <w:hideMark/>
          </w:tcPr>
          <w:p w:rsidR="00175FFC" w:rsidRPr="00175FFC" w:rsidRDefault="00175FFC" w:rsidP="00175FFC">
            <w:pPr>
              <w:spacing w:after="0" w:line="240" w:lineRule="auto"/>
              <w:rPr>
                <w:rFonts w:ascii="Arial" w:eastAsia="Times New Roman" w:hAnsi="Arial" w:cs="Arial"/>
                <w:b/>
                <w:bCs/>
                <w:color w:val="FFFFFF"/>
                <w:sz w:val="18"/>
                <w:szCs w:val="18"/>
              </w:rPr>
            </w:pPr>
          </w:p>
        </w:tc>
        <w:tc>
          <w:tcPr>
            <w:tcW w:w="915" w:type="dxa"/>
            <w:vMerge/>
            <w:tcBorders>
              <w:top w:val="single" w:sz="4" w:space="0" w:color="000000"/>
              <w:left w:val="single" w:sz="4" w:space="0" w:color="FFFFFF"/>
              <w:bottom w:val="single" w:sz="4" w:space="0" w:color="000000"/>
              <w:right w:val="single" w:sz="4" w:space="0" w:color="FFFFFF"/>
            </w:tcBorders>
            <w:tcMar>
              <w:left w:w="43" w:type="dxa"/>
              <w:right w:w="43" w:type="dxa"/>
            </w:tcMar>
            <w:vAlign w:val="center"/>
            <w:hideMark/>
          </w:tcPr>
          <w:p w:rsidR="00175FFC" w:rsidRPr="00175FFC" w:rsidRDefault="00175FFC" w:rsidP="00175FFC">
            <w:pPr>
              <w:spacing w:after="0" w:line="240" w:lineRule="auto"/>
              <w:rPr>
                <w:rFonts w:ascii="Arial" w:eastAsia="Times New Roman" w:hAnsi="Arial" w:cs="Arial"/>
                <w:b/>
                <w:bCs/>
                <w:color w:val="FFFFFF"/>
                <w:sz w:val="18"/>
                <w:szCs w:val="18"/>
              </w:rPr>
            </w:pPr>
          </w:p>
        </w:tc>
        <w:tc>
          <w:tcPr>
            <w:tcW w:w="957" w:type="dxa"/>
            <w:tcBorders>
              <w:top w:val="nil"/>
              <w:left w:val="nil"/>
              <w:bottom w:val="single" w:sz="4" w:space="0" w:color="000000"/>
              <w:right w:val="single" w:sz="4" w:space="0" w:color="FFFFFF"/>
            </w:tcBorders>
            <w:shd w:val="clear" w:color="000000" w:fill="1F497D"/>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FFFFFF"/>
                <w:sz w:val="18"/>
                <w:szCs w:val="18"/>
              </w:rPr>
            </w:pPr>
            <w:r w:rsidRPr="00175FFC">
              <w:rPr>
                <w:rFonts w:ascii="Arial" w:eastAsia="Times New Roman" w:hAnsi="Arial" w:cs="Arial"/>
                <w:color w:val="FFFFFF"/>
                <w:sz w:val="18"/>
                <w:szCs w:val="18"/>
              </w:rPr>
              <w:t>(kW)</w:t>
            </w:r>
          </w:p>
        </w:tc>
        <w:tc>
          <w:tcPr>
            <w:tcW w:w="927" w:type="dxa"/>
            <w:tcBorders>
              <w:top w:val="nil"/>
              <w:left w:val="nil"/>
              <w:bottom w:val="single" w:sz="4" w:space="0" w:color="000000"/>
              <w:right w:val="single" w:sz="4" w:space="0" w:color="FFFFFF"/>
            </w:tcBorders>
            <w:shd w:val="clear" w:color="000000" w:fill="1F497D"/>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FFFFFF"/>
                <w:sz w:val="18"/>
                <w:szCs w:val="18"/>
              </w:rPr>
            </w:pPr>
            <w:r w:rsidRPr="00175FFC">
              <w:rPr>
                <w:rFonts w:ascii="Arial" w:eastAsia="Times New Roman" w:hAnsi="Arial" w:cs="Arial"/>
                <w:color w:val="FFFFFF"/>
                <w:sz w:val="18"/>
                <w:szCs w:val="18"/>
              </w:rPr>
              <w:t>(kW)</w:t>
            </w:r>
          </w:p>
        </w:tc>
        <w:tc>
          <w:tcPr>
            <w:tcW w:w="903" w:type="dxa"/>
            <w:tcBorders>
              <w:top w:val="nil"/>
              <w:left w:val="nil"/>
              <w:bottom w:val="single" w:sz="4" w:space="0" w:color="000000"/>
              <w:right w:val="single" w:sz="4" w:space="0" w:color="FFFFFF"/>
            </w:tcBorders>
            <w:shd w:val="clear" w:color="000000" w:fill="1F497D"/>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FFFFFF"/>
                <w:sz w:val="18"/>
                <w:szCs w:val="18"/>
              </w:rPr>
            </w:pPr>
            <w:r w:rsidRPr="00175FFC">
              <w:rPr>
                <w:rFonts w:ascii="Arial" w:eastAsia="Times New Roman" w:hAnsi="Arial" w:cs="Arial"/>
                <w:color w:val="FFFFFF"/>
                <w:sz w:val="18"/>
                <w:szCs w:val="18"/>
              </w:rPr>
              <w:t>(kW)</w:t>
            </w:r>
          </w:p>
        </w:tc>
        <w:tc>
          <w:tcPr>
            <w:tcW w:w="977" w:type="dxa"/>
            <w:tcBorders>
              <w:top w:val="nil"/>
              <w:left w:val="nil"/>
              <w:bottom w:val="single" w:sz="4" w:space="0" w:color="000000"/>
              <w:right w:val="single" w:sz="4" w:space="0" w:color="FFFFFF"/>
            </w:tcBorders>
            <w:shd w:val="clear" w:color="000000" w:fill="1F497D"/>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FFFFFF"/>
                <w:sz w:val="18"/>
                <w:szCs w:val="18"/>
              </w:rPr>
            </w:pPr>
            <w:r w:rsidRPr="00175FFC">
              <w:rPr>
                <w:rFonts w:ascii="Arial" w:eastAsia="Times New Roman" w:hAnsi="Arial" w:cs="Arial"/>
                <w:color w:val="FFFFFF"/>
                <w:sz w:val="18"/>
                <w:szCs w:val="18"/>
              </w:rPr>
              <w:t>(MW)</w:t>
            </w:r>
          </w:p>
        </w:tc>
        <w:tc>
          <w:tcPr>
            <w:tcW w:w="966" w:type="dxa"/>
            <w:tcBorders>
              <w:top w:val="nil"/>
              <w:left w:val="nil"/>
              <w:bottom w:val="single" w:sz="4" w:space="0" w:color="000000"/>
              <w:right w:val="single" w:sz="4" w:space="0" w:color="FFFFFF"/>
            </w:tcBorders>
            <w:shd w:val="clear" w:color="000000" w:fill="1F497D"/>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FFFFFF"/>
                <w:sz w:val="18"/>
                <w:szCs w:val="18"/>
              </w:rPr>
            </w:pPr>
            <w:r w:rsidRPr="00175FFC">
              <w:rPr>
                <w:rFonts w:ascii="Arial" w:eastAsia="Times New Roman" w:hAnsi="Arial" w:cs="Arial"/>
                <w:color w:val="FFFFFF"/>
                <w:sz w:val="18"/>
                <w:szCs w:val="18"/>
              </w:rPr>
              <w:t>%</w:t>
            </w:r>
          </w:p>
        </w:tc>
        <w:tc>
          <w:tcPr>
            <w:tcW w:w="915" w:type="dxa"/>
            <w:tcBorders>
              <w:top w:val="nil"/>
              <w:left w:val="nil"/>
              <w:bottom w:val="single" w:sz="4" w:space="0" w:color="000000"/>
              <w:right w:val="single" w:sz="4" w:space="0" w:color="FFFFFF"/>
            </w:tcBorders>
            <w:shd w:val="clear" w:color="000000" w:fill="1F497D"/>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FFFFFF"/>
                <w:sz w:val="18"/>
                <w:szCs w:val="18"/>
              </w:rPr>
            </w:pPr>
            <w:r w:rsidRPr="00175FFC">
              <w:rPr>
                <w:rFonts w:ascii="Arial" w:eastAsia="Times New Roman" w:hAnsi="Arial" w:cs="Arial"/>
                <w:color w:val="FFFFFF"/>
                <w:sz w:val="18"/>
                <w:szCs w:val="18"/>
              </w:rPr>
              <w:t>°F</w:t>
            </w:r>
          </w:p>
        </w:tc>
        <w:tc>
          <w:tcPr>
            <w:tcW w:w="1097" w:type="dxa"/>
            <w:vMerge/>
            <w:tcBorders>
              <w:top w:val="single" w:sz="4" w:space="0" w:color="000000"/>
              <w:left w:val="single" w:sz="4" w:space="0" w:color="FFFFFF"/>
              <w:bottom w:val="single" w:sz="4" w:space="0" w:color="000000"/>
              <w:right w:val="single" w:sz="4" w:space="0" w:color="000000"/>
            </w:tcBorders>
            <w:tcMar>
              <w:left w:w="43" w:type="dxa"/>
              <w:right w:w="43" w:type="dxa"/>
            </w:tcMar>
            <w:vAlign w:val="center"/>
            <w:hideMark/>
          </w:tcPr>
          <w:p w:rsidR="00175FFC" w:rsidRPr="00175FFC" w:rsidRDefault="00175FFC" w:rsidP="00175FFC">
            <w:pPr>
              <w:spacing w:after="0" w:line="240" w:lineRule="auto"/>
              <w:rPr>
                <w:rFonts w:ascii="Arial" w:eastAsia="Times New Roman" w:hAnsi="Arial" w:cs="Arial"/>
                <w:b/>
                <w:bCs/>
                <w:color w:val="FFFFFF"/>
                <w:sz w:val="18"/>
                <w:szCs w:val="18"/>
              </w:rPr>
            </w:pPr>
          </w:p>
        </w:tc>
      </w:tr>
      <w:tr w:rsidR="00175FFC" w:rsidRPr="00175FFC" w:rsidTr="00175FFC">
        <w:trPr>
          <w:trHeight w:val="360"/>
        </w:trPr>
        <w:tc>
          <w:tcPr>
            <w:tcW w:w="178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Greater Bay Area</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760</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323.1</w:t>
            </w:r>
          </w:p>
        </w:tc>
        <w:tc>
          <w:tcPr>
            <w:tcW w:w="92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309.0</w:t>
            </w:r>
          </w:p>
        </w:tc>
        <w:tc>
          <w:tcPr>
            <w:tcW w:w="9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14.1</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10.7</w:t>
            </w:r>
          </w:p>
        </w:tc>
        <w:tc>
          <w:tcPr>
            <w:tcW w:w="96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4.4%</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78.8</w:t>
            </w:r>
          </w:p>
        </w:tc>
        <w:tc>
          <w:tcPr>
            <w:tcW w:w="109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Yes</w:t>
            </w:r>
          </w:p>
        </w:tc>
      </w:tr>
      <w:tr w:rsidR="00175FFC" w:rsidRPr="00175FFC" w:rsidTr="00175FFC">
        <w:trPr>
          <w:trHeight w:val="360"/>
        </w:trPr>
        <w:tc>
          <w:tcPr>
            <w:tcW w:w="178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Greater Fresno</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190</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235.0</w:t>
            </w:r>
          </w:p>
        </w:tc>
        <w:tc>
          <w:tcPr>
            <w:tcW w:w="92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216.7</w:t>
            </w:r>
          </w:p>
        </w:tc>
        <w:tc>
          <w:tcPr>
            <w:tcW w:w="9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18.3</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3.5</w:t>
            </w:r>
          </w:p>
        </w:tc>
        <w:tc>
          <w:tcPr>
            <w:tcW w:w="96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7.8%</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101.8</w:t>
            </w:r>
          </w:p>
        </w:tc>
        <w:tc>
          <w:tcPr>
            <w:tcW w:w="109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Yes</w:t>
            </w:r>
          </w:p>
        </w:tc>
      </w:tr>
      <w:tr w:rsidR="00175FFC" w:rsidRPr="00175FFC" w:rsidTr="00175FFC">
        <w:trPr>
          <w:trHeight w:val="360"/>
        </w:trPr>
        <w:tc>
          <w:tcPr>
            <w:tcW w:w="178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Humboldt</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13</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212.7</w:t>
            </w:r>
          </w:p>
        </w:tc>
        <w:tc>
          <w:tcPr>
            <w:tcW w:w="92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169.4</w:t>
            </w:r>
          </w:p>
        </w:tc>
        <w:tc>
          <w:tcPr>
            <w:tcW w:w="9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43.3</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0.6</w:t>
            </w:r>
          </w:p>
        </w:tc>
        <w:tc>
          <w:tcPr>
            <w:tcW w:w="96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20.4%</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61.6</w:t>
            </w:r>
          </w:p>
        </w:tc>
        <w:tc>
          <w:tcPr>
            <w:tcW w:w="109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Yes</w:t>
            </w:r>
          </w:p>
        </w:tc>
      </w:tr>
      <w:tr w:rsidR="00175FFC" w:rsidRPr="00175FFC" w:rsidTr="00175FFC">
        <w:trPr>
          <w:trHeight w:val="360"/>
        </w:trPr>
        <w:tc>
          <w:tcPr>
            <w:tcW w:w="178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Kern</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104</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150.6</w:t>
            </w:r>
          </w:p>
        </w:tc>
        <w:tc>
          <w:tcPr>
            <w:tcW w:w="92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121.0</w:t>
            </w:r>
          </w:p>
        </w:tc>
        <w:tc>
          <w:tcPr>
            <w:tcW w:w="9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29.6</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3.1</w:t>
            </w:r>
          </w:p>
        </w:tc>
        <w:tc>
          <w:tcPr>
            <w:tcW w:w="96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19.6%</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99.8</w:t>
            </w:r>
          </w:p>
        </w:tc>
        <w:tc>
          <w:tcPr>
            <w:tcW w:w="109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Yes</w:t>
            </w:r>
          </w:p>
        </w:tc>
      </w:tr>
      <w:tr w:rsidR="00175FFC" w:rsidRPr="00175FFC" w:rsidTr="00175FFC">
        <w:trPr>
          <w:trHeight w:val="360"/>
        </w:trPr>
        <w:tc>
          <w:tcPr>
            <w:tcW w:w="178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Other</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295</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234.6</w:t>
            </w:r>
          </w:p>
        </w:tc>
        <w:tc>
          <w:tcPr>
            <w:tcW w:w="92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211.4</w:t>
            </w:r>
          </w:p>
        </w:tc>
        <w:tc>
          <w:tcPr>
            <w:tcW w:w="9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23.2</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6.8</w:t>
            </w:r>
          </w:p>
        </w:tc>
        <w:tc>
          <w:tcPr>
            <w:tcW w:w="96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9.9%</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87.4</w:t>
            </w:r>
          </w:p>
        </w:tc>
        <w:tc>
          <w:tcPr>
            <w:tcW w:w="109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Yes</w:t>
            </w:r>
          </w:p>
        </w:tc>
      </w:tr>
      <w:tr w:rsidR="00175FFC" w:rsidRPr="00175FFC" w:rsidTr="00175FFC">
        <w:trPr>
          <w:trHeight w:val="360"/>
        </w:trPr>
        <w:tc>
          <w:tcPr>
            <w:tcW w:w="178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Northern Coast</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84</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222.3</w:t>
            </w:r>
          </w:p>
        </w:tc>
        <w:tc>
          <w:tcPr>
            <w:tcW w:w="92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210.9</w:t>
            </w:r>
          </w:p>
        </w:tc>
        <w:tc>
          <w:tcPr>
            <w:tcW w:w="9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11.4</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1.0</w:t>
            </w:r>
          </w:p>
        </w:tc>
        <w:tc>
          <w:tcPr>
            <w:tcW w:w="96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5.1%</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88.2</w:t>
            </w:r>
          </w:p>
        </w:tc>
        <w:tc>
          <w:tcPr>
            <w:tcW w:w="109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Yes</w:t>
            </w:r>
          </w:p>
        </w:tc>
      </w:tr>
      <w:tr w:rsidR="00175FFC" w:rsidRPr="00175FFC" w:rsidTr="00175FFC">
        <w:trPr>
          <w:trHeight w:val="360"/>
        </w:trPr>
        <w:tc>
          <w:tcPr>
            <w:tcW w:w="178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Sierra</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77</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203.0</w:t>
            </w:r>
          </w:p>
        </w:tc>
        <w:tc>
          <w:tcPr>
            <w:tcW w:w="92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186.9</w:t>
            </w:r>
          </w:p>
        </w:tc>
        <w:tc>
          <w:tcPr>
            <w:tcW w:w="9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16.1</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1.2</w:t>
            </w:r>
          </w:p>
        </w:tc>
        <w:tc>
          <w:tcPr>
            <w:tcW w:w="96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7.9%</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97.1</w:t>
            </w:r>
          </w:p>
        </w:tc>
        <w:tc>
          <w:tcPr>
            <w:tcW w:w="109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Yes</w:t>
            </w:r>
          </w:p>
        </w:tc>
      </w:tr>
      <w:tr w:rsidR="00175FFC" w:rsidRPr="00175FFC" w:rsidTr="00175FFC">
        <w:trPr>
          <w:trHeight w:val="360"/>
        </w:trPr>
        <w:tc>
          <w:tcPr>
            <w:tcW w:w="178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Stockton</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105</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239.6</w:t>
            </w:r>
          </w:p>
        </w:tc>
        <w:tc>
          <w:tcPr>
            <w:tcW w:w="92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210.6</w:t>
            </w:r>
          </w:p>
        </w:tc>
        <w:tc>
          <w:tcPr>
            <w:tcW w:w="9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29.0</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3.0</w:t>
            </w:r>
          </w:p>
        </w:tc>
        <w:tc>
          <w:tcPr>
            <w:tcW w:w="96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12.1%</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96.2</w:t>
            </w:r>
          </w:p>
        </w:tc>
        <w:tc>
          <w:tcPr>
            <w:tcW w:w="109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Yes</w:t>
            </w:r>
          </w:p>
        </w:tc>
      </w:tr>
    </w:tbl>
    <w:p w:rsidR="00175FFC" w:rsidRDefault="00175FFC" w:rsidP="0002103E">
      <w:pPr>
        <w:pStyle w:val="BodyParagraph"/>
      </w:pPr>
    </w:p>
    <w:p w:rsidR="009A5CD1" w:rsidRDefault="00CC2111" w:rsidP="0002103E">
      <w:pPr>
        <w:pStyle w:val="BodyParagraph"/>
      </w:pPr>
      <w:r>
        <w:t>Table 4-4</w:t>
      </w:r>
      <w:r w:rsidR="00AD6E36">
        <w:t xml:space="preserve"> shows the estimated ex post load impact </w:t>
      </w:r>
      <w:r w:rsidR="00471E92">
        <w:t xml:space="preserve">by customer size, </w:t>
      </w:r>
      <w:r w:rsidR="003A7135">
        <w:t xml:space="preserve">for five customer segments determined by average </w:t>
      </w:r>
      <w:r w:rsidR="00324B30">
        <w:t>hourly consumption</w:t>
      </w:r>
      <w:r w:rsidR="0001340F">
        <w:t>.</w:t>
      </w:r>
      <w:r w:rsidR="00703EE8">
        <w:rPr>
          <w:rStyle w:val="FootnoteReference"/>
        </w:rPr>
        <w:footnoteReference w:id="19"/>
      </w:r>
      <w:r w:rsidR="00471E92">
        <w:t xml:space="preserve">  </w:t>
      </w:r>
      <w:r w:rsidR="00AD6E36">
        <w:t>Participants with</w:t>
      </w:r>
      <w:r w:rsidR="003A7135">
        <w:t xml:space="preserve"> average usage above 500 kWh/h</w:t>
      </w:r>
      <w:r w:rsidR="00C82C6B">
        <w:t>r</w:t>
      </w:r>
      <w:r w:rsidR="003A7135">
        <w:t xml:space="preserve"> </w:t>
      </w:r>
      <w:r w:rsidR="00AD6E36">
        <w:t>provided the largest absolute average impact per customer (</w:t>
      </w:r>
      <w:r w:rsidR="003A7135">
        <w:t>1</w:t>
      </w:r>
      <w:r w:rsidR="00A102DA">
        <w:t>13.0</w:t>
      </w:r>
      <w:r w:rsidR="003A7135">
        <w:t xml:space="preserve"> k</w:t>
      </w:r>
      <w:r w:rsidR="00A102DA">
        <w:t>W) and aggregate load impact (12.0</w:t>
      </w:r>
      <w:r w:rsidR="00AD6E36">
        <w:t xml:space="preserve"> MW).  </w:t>
      </w:r>
      <w:r w:rsidR="003A7135">
        <w:t>But the smallest customers, with usage under 50</w:t>
      </w:r>
      <w:r w:rsidR="00584A33">
        <w:t xml:space="preserve"> </w:t>
      </w:r>
      <w:r w:rsidR="003A7135">
        <w:t>kWh/h</w:t>
      </w:r>
      <w:r w:rsidR="00C82C6B">
        <w:t>r</w:t>
      </w:r>
      <w:r w:rsidR="003A7135">
        <w:t>, provided the greatest percent reduction</w:t>
      </w:r>
      <w:r w:rsidR="00703EE8">
        <w:t>,</w:t>
      </w:r>
      <w:r w:rsidR="003A7135">
        <w:t xml:space="preserve"> 21%.</w:t>
      </w:r>
      <w:r w:rsidR="00584A33">
        <w:t xml:space="preserve">  T</w:t>
      </w:r>
      <w:r w:rsidR="00A102DA">
        <w:t>he largest customers comprised 3</w:t>
      </w:r>
      <w:r w:rsidR="00584A33">
        <w:t>8</w:t>
      </w:r>
      <w:r w:rsidR="00A102DA">
        <w:t>.5</w:t>
      </w:r>
      <w:r w:rsidR="00AD6E36">
        <w:t xml:space="preserve">% of the </w:t>
      </w:r>
      <w:r>
        <w:t>a</w:t>
      </w:r>
      <w:r w:rsidR="00584A33">
        <w:t>g</w:t>
      </w:r>
      <w:r>
        <w:t>g</w:t>
      </w:r>
      <w:r w:rsidR="00AD6E36">
        <w:t>regate load impact even though they represented only 6</w:t>
      </w:r>
      <w:r w:rsidR="00A102DA">
        <w:t>.6</w:t>
      </w:r>
      <w:r w:rsidR="00AD6E36">
        <w:t>% of the enrolled population.  Participant</w:t>
      </w:r>
      <w:r w:rsidR="00584A33">
        <w:t>s with average usage between 50</w:t>
      </w:r>
      <w:r w:rsidR="00AD6E36">
        <w:t xml:space="preserve"> and</w:t>
      </w:r>
      <w:r w:rsidR="0001340F">
        <w:t> </w:t>
      </w:r>
      <w:r w:rsidR="00584A33">
        <w:t>1</w:t>
      </w:r>
      <w:r w:rsidR="00AD6E36">
        <w:t>00 kWh/h</w:t>
      </w:r>
      <w:r w:rsidR="005563B2">
        <w:t>r</w:t>
      </w:r>
      <w:r w:rsidR="00AD6E36">
        <w:t xml:space="preserve"> provided the lowest percent load impact (</w:t>
      </w:r>
      <w:r w:rsidR="00584A33">
        <w:t>2.8</w:t>
      </w:r>
      <w:r w:rsidR="00AD6E36">
        <w:t>%).</w:t>
      </w:r>
    </w:p>
    <w:p w:rsidR="003A7135" w:rsidRDefault="003A7135" w:rsidP="009A5CD1">
      <w:pPr>
        <w:pStyle w:val="TableFigureCaption"/>
      </w:pPr>
      <w:r w:rsidRPr="009A5CD1">
        <w:t>Table 4-4: Estimated Ex Post Load Impacts by Customer Size</w:t>
      </w:r>
      <w:r w:rsidRPr="009A5CD1">
        <w:br/>
        <w:t>Average 2012 PG&amp;E CPP Event</w:t>
      </w:r>
    </w:p>
    <w:tbl>
      <w:tblPr>
        <w:tblW w:w="0" w:type="auto"/>
        <w:tblLayout w:type="fixed"/>
        <w:tblLook w:val="04A0" w:firstRow="1" w:lastRow="0" w:firstColumn="1" w:lastColumn="0" w:noHBand="0" w:noVBand="1"/>
      </w:tblPr>
      <w:tblGrid>
        <w:gridCol w:w="1789"/>
        <w:gridCol w:w="915"/>
        <w:gridCol w:w="957"/>
        <w:gridCol w:w="927"/>
        <w:gridCol w:w="903"/>
        <w:gridCol w:w="977"/>
        <w:gridCol w:w="966"/>
        <w:gridCol w:w="915"/>
        <w:gridCol w:w="1097"/>
      </w:tblGrid>
      <w:tr w:rsidR="00175FFC" w:rsidRPr="00175FFC" w:rsidTr="00175FFC">
        <w:trPr>
          <w:trHeight w:val="828"/>
        </w:trPr>
        <w:tc>
          <w:tcPr>
            <w:tcW w:w="1789" w:type="dxa"/>
            <w:tcBorders>
              <w:top w:val="single" w:sz="8" w:space="0" w:color="000000"/>
              <w:left w:val="single" w:sz="8" w:space="0" w:color="auto"/>
              <w:right w:val="single" w:sz="8"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Consumption</w:t>
            </w:r>
          </w:p>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Size Category</w:t>
            </w:r>
          </w:p>
        </w:tc>
        <w:tc>
          <w:tcPr>
            <w:tcW w:w="915" w:type="dxa"/>
            <w:vMerge w:val="restart"/>
            <w:tcBorders>
              <w:top w:val="single" w:sz="8" w:space="0" w:color="000000"/>
              <w:left w:val="single" w:sz="8" w:space="0" w:color="FFFFFF"/>
              <w:bottom w:val="single" w:sz="8" w:space="0" w:color="000000"/>
              <w:right w:val="single" w:sz="8"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Accts</w:t>
            </w:r>
          </w:p>
        </w:tc>
        <w:tc>
          <w:tcPr>
            <w:tcW w:w="957" w:type="dxa"/>
            <w:tcBorders>
              <w:top w:val="single" w:sz="8" w:space="0" w:color="000000"/>
              <w:left w:val="single" w:sz="8" w:space="0" w:color="FFFFFF"/>
              <w:bottom w:val="single" w:sz="8" w:space="0" w:color="FFFFFF"/>
              <w:right w:val="single" w:sz="8"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Avg. Customer Reference Load</w:t>
            </w:r>
          </w:p>
        </w:tc>
        <w:tc>
          <w:tcPr>
            <w:tcW w:w="927" w:type="dxa"/>
            <w:tcBorders>
              <w:top w:val="single" w:sz="8" w:space="0" w:color="000000"/>
              <w:left w:val="single" w:sz="8" w:space="0" w:color="FFFFFF"/>
              <w:bottom w:val="single" w:sz="8" w:space="0" w:color="FFFFFF"/>
              <w:right w:val="single" w:sz="8"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Avg. Customer Load w/ DR</w:t>
            </w:r>
          </w:p>
        </w:tc>
        <w:tc>
          <w:tcPr>
            <w:tcW w:w="903" w:type="dxa"/>
            <w:tcBorders>
              <w:top w:val="single" w:sz="8" w:space="0" w:color="000000"/>
              <w:left w:val="single" w:sz="8" w:space="0" w:color="FFFFFF"/>
              <w:bottom w:val="single" w:sz="8" w:space="0" w:color="FFFFFF"/>
              <w:right w:val="single" w:sz="8"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Impact</w:t>
            </w:r>
          </w:p>
        </w:tc>
        <w:tc>
          <w:tcPr>
            <w:tcW w:w="977" w:type="dxa"/>
            <w:tcBorders>
              <w:top w:val="single" w:sz="8" w:space="0" w:color="000000"/>
              <w:left w:val="single" w:sz="8" w:space="0" w:color="FFFFFF"/>
              <w:bottom w:val="single" w:sz="8" w:space="0" w:color="FFFFFF"/>
              <w:right w:val="single" w:sz="8"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Aggregate Impact</w:t>
            </w:r>
          </w:p>
        </w:tc>
        <w:tc>
          <w:tcPr>
            <w:tcW w:w="966" w:type="dxa"/>
            <w:tcBorders>
              <w:top w:val="single" w:sz="8" w:space="0" w:color="000000"/>
              <w:left w:val="single" w:sz="8" w:space="0" w:color="FFFFFF"/>
              <w:bottom w:val="single" w:sz="8" w:space="0" w:color="FFFFFF"/>
              <w:right w:val="single" w:sz="8"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 Reduction</w:t>
            </w:r>
          </w:p>
        </w:tc>
        <w:tc>
          <w:tcPr>
            <w:tcW w:w="915" w:type="dxa"/>
            <w:tcBorders>
              <w:top w:val="single" w:sz="8" w:space="0" w:color="000000"/>
              <w:left w:val="single" w:sz="8" w:space="0" w:color="FFFFFF"/>
              <w:bottom w:val="single" w:sz="8" w:space="0" w:color="FFFFFF"/>
              <w:right w:val="single" w:sz="8"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Avg. Temp</w:t>
            </w:r>
          </w:p>
        </w:tc>
        <w:tc>
          <w:tcPr>
            <w:tcW w:w="1097" w:type="dxa"/>
            <w:vMerge w:val="restart"/>
            <w:tcBorders>
              <w:top w:val="single" w:sz="8" w:space="0" w:color="000000"/>
              <w:left w:val="single" w:sz="8" w:space="0" w:color="FFFFFF"/>
              <w:bottom w:val="single" w:sz="8" w:space="0" w:color="000000"/>
              <w:right w:val="single" w:sz="8" w:space="0" w:color="000000"/>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Stat. significant?</w:t>
            </w:r>
          </w:p>
        </w:tc>
      </w:tr>
      <w:tr w:rsidR="00175FFC" w:rsidRPr="00175FFC" w:rsidTr="00175FFC">
        <w:trPr>
          <w:trHeight w:val="402"/>
        </w:trPr>
        <w:tc>
          <w:tcPr>
            <w:tcW w:w="1789" w:type="dxa"/>
            <w:tcBorders>
              <w:top w:val="nil"/>
              <w:left w:val="single" w:sz="8" w:space="0" w:color="auto"/>
              <w:bottom w:val="single" w:sz="8" w:space="0" w:color="000000"/>
              <w:right w:val="single" w:sz="8" w:space="0" w:color="FFFFFF"/>
            </w:tcBorders>
            <w:shd w:val="clear" w:color="000000" w:fill="1F497D"/>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(Annual kWh/hr)</w:t>
            </w:r>
          </w:p>
        </w:tc>
        <w:tc>
          <w:tcPr>
            <w:tcW w:w="915" w:type="dxa"/>
            <w:vMerge/>
            <w:tcBorders>
              <w:top w:val="single" w:sz="8" w:space="0" w:color="000000"/>
              <w:left w:val="single" w:sz="8" w:space="0" w:color="FFFFFF"/>
              <w:bottom w:val="single" w:sz="8" w:space="0" w:color="000000"/>
              <w:right w:val="single" w:sz="8" w:space="0" w:color="FFFFFF"/>
            </w:tcBorders>
            <w:tcMar>
              <w:left w:w="43" w:type="dxa"/>
              <w:right w:w="43" w:type="dxa"/>
            </w:tcMar>
            <w:vAlign w:val="center"/>
            <w:hideMark/>
          </w:tcPr>
          <w:p w:rsidR="00175FFC" w:rsidRPr="00175FFC" w:rsidRDefault="00175FFC" w:rsidP="00175FFC">
            <w:pPr>
              <w:spacing w:after="0" w:line="240" w:lineRule="auto"/>
              <w:rPr>
                <w:rFonts w:ascii="Arial" w:eastAsia="Times New Roman" w:hAnsi="Arial" w:cs="Arial"/>
                <w:b/>
                <w:bCs/>
                <w:color w:val="FFFFFF"/>
                <w:sz w:val="18"/>
                <w:szCs w:val="18"/>
              </w:rPr>
            </w:pPr>
          </w:p>
        </w:tc>
        <w:tc>
          <w:tcPr>
            <w:tcW w:w="957" w:type="dxa"/>
            <w:tcBorders>
              <w:top w:val="nil"/>
              <w:left w:val="nil"/>
              <w:bottom w:val="single" w:sz="8" w:space="0" w:color="000000"/>
              <w:right w:val="single" w:sz="8" w:space="0" w:color="FFFFFF"/>
            </w:tcBorders>
            <w:shd w:val="clear" w:color="000000" w:fill="1F497D"/>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(kW)</w:t>
            </w:r>
          </w:p>
        </w:tc>
        <w:tc>
          <w:tcPr>
            <w:tcW w:w="927" w:type="dxa"/>
            <w:tcBorders>
              <w:top w:val="nil"/>
              <w:left w:val="nil"/>
              <w:bottom w:val="single" w:sz="8" w:space="0" w:color="000000"/>
              <w:right w:val="single" w:sz="8" w:space="0" w:color="FFFFFF"/>
            </w:tcBorders>
            <w:shd w:val="clear" w:color="000000" w:fill="1F497D"/>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(kW)</w:t>
            </w:r>
          </w:p>
        </w:tc>
        <w:tc>
          <w:tcPr>
            <w:tcW w:w="903" w:type="dxa"/>
            <w:tcBorders>
              <w:top w:val="nil"/>
              <w:left w:val="nil"/>
              <w:bottom w:val="single" w:sz="8" w:space="0" w:color="000000"/>
              <w:right w:val="single" w:sz="8" w:space="0" w:color="FFFFFF"/>
            </w:tcBorders>
            <w:shd w:val="clear" w:color="000000" w:fill="1F497D"/>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(kW)</w:t>
            </w:r>
          </w:p>
        </w:tc>
        <w:tc>
          <w:tcPr>
            <w:tcW w:w="977" w:type="dxa"/>
            <w:tcBorders>
              <w:top w:val="nil"/>
              <w:left w:val="nil"/>
              <w:bottom w:val="single" w:sz="8" w:space="0" w:color="000000"/>
              <w:right w:val="single" w:sz="8" w:space="0" w:color="FFFFFF"/>
            </w:tcBorders>
            <w:shd w:val="clear" w:color="000000" w:fill="1F497D"/>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(MW)</w:t>
            </w:r>
          </w:p>
        </w:tc>
        <w:tc>
          <w:tcPr>
            <w:tcW w:w="966" w:type="dxa"/>
            <w:tcBorders>
              <w:top w:val="nil"/>
              <w:left w:val="nil"/>
              <w:bottom w:val="single" w:sz="8" w:space="0" w:color="000000"/>
              <w:right w:val="single" w:sz="8" w:space="0" w:color="FFFFFF"/>
            </w:tcBorders>
            <w:shd w:val="clear" w:color="000000" w:fill="1F497D"/>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w:t>
            </w:r>
          </w:p>
        </w:tc>
        <w:tc>
          <w:tcPr>
            <w:tcW w:w="915" w:type="dxa"/>
            <w:tcBorders>
              <w:top w:val="nil"/>
              <w:left w:val="nil"/>
              <w:bottom w:val="single" w:sz="8" w:space="0" w:color="000000"/>
              <w:right w:val="single" w:sz="8" w:space="0" w:color="FFFFFF"/>
            </w:tcBorders>
            <w:shd w:val="clear" w:color="000000" w:fill="1F497D"/>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b/>
                <w:bCs/>
                <w:color w:val="FFFFFF"/>
                <w:sz w:val="18"/>
                <w:szCs w:val="18"/>
              </w:rPr>
            </w:pPr>
            <w:r w:rsidRPr="00175FFC">
              <w:rPr>
                <w:rFonts w:ascii="Arial" w:eastAsia="Times New Roman" w:hAnsi="Arial" w:cs="Arial"/>
                <w:b/>
                <w:bCs/>
                <w:color w:val="FFFFFF"/>
                <w:sz w:val="18"/>
                <w:szCs w:val="18"/>
              </w:rPr>
              <w:t>°F</w:t>
            </w:r>
          </w:p>
        </w:tc>
        <w:tc>
          <w:tcPr>
            <w:tcW w:w="1097" w:type="dxa"/>
            <w:vMerge/>
            <w:tcBorders>
              <w:top w:val="single" w:sz="8" w:space="0" w:color="000000"/>
              <w:left w:val="single" w:sz="8" w:space="0" w:color="FFFFFF"/>
              <w:bottom w:val="single" w:sz="8" w:space="0" w:color="000000"/>
              <w:right w:val="single" w:sz="8" w:space="0" w:color="000000"/>
            </w:tcBorders>
            <w:tcMar>
              <w:left w:w="43" w:type="dxa"/>
              <w:right w:w="43" w:type="dxa"/>
            </w:tcMar>
            <w:vAlign w:val="center"/>
            <w:hideMark/>
          </w:tcPr>
          <w:p w:rsidR="00175FFC" w:rsidRPr="00175FFC" w:rsidRDefault="00175FFC" w:rsidP="00175FFC">
            <w:pPr>
              <w:spacing w:after="0" w:line="240" w:lineRule="auto"/>
              <w:rPr>
                <w:rFonts w:ascii="Arial" w:eastAsia="Times New Roman" w:hAnsi="Arial" w:cs="Arial"/>
                <w:b/>
                <w:bCs/>
                <w:color w:val="FFFFFF"/>
                <w:sz w:val="18"/>
                <w:szCs w:val="18"/>
              </w:rPr>
            </w:pPr>
          </w:p>
        </w:tc>
      </w:tr>
      <w:tr w:rsidR="00175FFC" w:rsidRPr="00175FFC" w:rsidTr="00175FFC">
        <w:trPr>
          <w:trHeight w:val="402"/>
        </w:trPr>
        <w:tc>
          <w:tcPr>
            <w:tcW w:w="1789" w:type="dxa"/>
            <w:tcBorders>
              <w:top w:val="nil"/>
              <w:left w:val="single" w:sz="8" w:space="0" w:color="auto"/>
              <w:bottom w:val="single" w:sz="8" w:space="0" w:color="auto"/>
              <w:right w:val="single" w:sz="8"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Over 500 kWh/hr</w:t>
            </w:r>
          </w:p>
        </w:tc>
        <w:tc>
          <w:tcPr>
            <w:tcW w:w="915"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107</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1,210.6</w:t>
            </w:r>
          </w:p>
        </w:tc>
        <w:tc>
          <w:tcPr>
            <w:tcW w:w="92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1,097.6</w:t>
            </w:r>
          </w:p>
        </w:tc>
        <w:tc>
          <w:tcPr>
            <w:tcW w:w="9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113.0</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12.0</w:t>
            </w:r>
          </w:p>
        </w:tc>
        <w:tc>
          <w:tcPr>
            <w:tcW w:w="96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9.3%</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81.9</w:t>
            </w:r>
          </w:p>
        </w:tc>
        <w:tc>
          <w:tcPr>
            <w:tcW w:w="109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Yes</w:t>
            </w:r>
          </w:p>
        </w:tc>
      </w:tr>
      <w:tr w:rsidR="00175FFC" w:rsidRPr="00175FFC" w:rsidTr="00175FFC">
        <w:trPr>
          <w:trHeight w:val="402"/>
        </w:trPr>
        <w:tc>
          <w:tcPr>
            <w:tcW w:w="1789" w:type="dxa"/>
            <w:tcBorders>
              <w:top w:val="nil"/>
              <w:left w:val="single" w:sz="8" w:space="0" w:color="auto"/>
              <w:bottom w:val="single" w:sz="8" w:space="0" w:color="auto"/>
              <w:right w:val="single" w:sz="8"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200–500 kWh/hr</w:t>
            </w:r>
          </w:p>
        </w:tc>
        <w:tc>
          <w:tcPr>
            <w:tcW w:w="915"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360</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404.7</w:t>
            </w:r>
          </w:p>
        </w:tc>
        <w:tc>
          <w:tcPr>
            <w:tcW w:w="92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374.5</w:t>
            </w:r>
          </w:p>
        </w:tc>
        <w:tc>
          <w:tcPr>
            <w:tcW w:w="9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30.2</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10.9</w:t>
            </w:r>
          </w:p>
        </w:tc>
        <w:tc>
          <w:tcPr>
            <w:tcW w:w="96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7.5%</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83.3</w:t>
            </w:r>
          </w:p>
        </w:tc>
        <w:tc>
          <w:tcPr>
            <w:tcW w:w="109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Yes</w:t>
            </w:r>
          </w:p>
        </w:tc>
      </w:tr>
      <w:tr w:rsidR="00175FFC" w:rsidRPr="00175FFC" w:rsidTr="00175FFC">
        <w:trPr>
          <w:trHeight w:val="402"/>
        </w:trPr>
        <w:tc>
          <w:tcPr>
            <w:tcW w:w="1789" w:type="dxa"/>
            <w:tcBorders>
              <w:top w:val="nil"/>
              <w:left w:val="single" w:sz="8" w:space="0" w:color="auto"/>
              <w:bottom w:val="single" w:sz="8" w:space="0" w:color="auto"/>
              <w:right w:val="single" w:sz="8"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100–200 kWh/hr</w:t>
            </w:r>
          </w:p>
        </w:tc>
        <w:tc>
          <w:tcPr>
            <w:tcW w:w="915"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555</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205.6</w:t>
            </w:r>
          </w:p>
        </w:tc>
        <w:tc>
          <w:tcPr>
            <w:tcW w:w="92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196.2</w:t>
            </w:r>
          </w:p>
        </w:tc>
        <w:tc>
          <w:tcPr>
            <w:tcW w:w="9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9.5</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5.2</w:t>
            </w:r>
          </w:p>
        </w:tc>
        <w:tc>
          <w:tcPr>
            <w:tcW w:w="96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4.6%</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85.0</w:t>
            </w:r>
          </w:p>
        </w:tc>
        <w:tc>
          <w:tcPr>
            <w:tcW w:w="109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Yes</w:t>
            </w:r>
          </w:p>
        </w:tc>
      </w:tr>
      <w:tr w:rsidR="00175FFC" w:rsidRPr="00175FFC" w:rsidTr="00175FFC">
        <w:trPr>
          <w:trHeight w:val="402"/>
        </w:trPr>
        <w:tc>
          <w:tcPr>
            <w:tcW w:w="1789" w:type="dxa"/>
            <w:tcBorders>
              <w:top w:val="nil"/>
              <w:left w:val="single" w:sz="8" w:space="0" w:color="auto"/>
              <w:bottom w:val="single" w:sz="8" w:space="0" w:color="auto"/>
              <w:right w:val="single" w:sz="8"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50–100 kWh/hr</w:t>
            </w:r>
          </w:p>
        </w:tc>
        <w:tc>
          <w:tcPr>
            <w:tcW w:w="915"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387</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103.6</w:t>
            </w:r>
          </w:p>
        </w:tc>
        <w:tc>
          <w:tcPr>
            <w:tcW w:w="92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100.6</w:t>
            </w:r>
          </w:p>
        </w:tc>
        <w:tc>
          <w:tcPr>
            <w:tcW w:w="9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2.9</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1.1</w:t>
            </w:r>
          </w:p>
        </w:tc>
        <w:tc>
          <w:tcPr>
            <w:tcW w:w="96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2.8%</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89.4</w:t>
            </w:r>
          </w:p>
        </w:tc>
        <w:tc>
          <w:tcPr>
            <w:tcW w:w="109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No</w:t>
            </w:r>
          </w:p>
        </w:tc>
      </w:tr>
      <w:tr w:rsidR="00175FFC" w:rsidRPr="00175FFC" w:rsidTr="00175FFC">
        <w:trPr>
          <w:trHeight w:val="402"/>
        </w:trPr>
        <w:tc>
          <w:tcPr>
            <w:tcW w:w="1789" w:type="dxa"/>
            <w:tcBorders>
              <w:top w:val="nil"/>
              <w:left w:val="single" w:sz="8" w:space="0" w:color="auto"/>
              <w:bottom w:val="single" w:sz="8" w:space="0" w:color="auto"/>
              <w:right w:val="single" w:sz="8"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Under 50 kWh/hr</w:t>
            </w:r>
          </w:p>
        </w:tc>
        <w:tc>
          <w:tcPr>
            <w:tcW w:w="915"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215</w:t>
            </w:r>
          </w:p>
        </w:tc>
        <w:tc>
          <w:tcPr>
            <w:tcW w:w="95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43.0</w:t>
            </w:r>
          </w:p>
        </w:tc>
        <w:tc>
          <w:tcPr>
            <w:tcW w:w="92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34.0</w:t>
            </w:r>
          </w:p>
        </w:tc>
        <w:tc>
          <w:tcPr>
            <w:tcW w:w="90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9.0</w:t>
            </w:r>
          </w:p>
        </w:tc>
        <w:tc>
          <w:tcPr>
            <w:tcW w:w="97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1.9</w:t>
            </w:r>
          </w:p>
        </w:tc>
        <w:tc>
          <w:tcPr>
            <w:tcW w:w="966"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21.0%</w:t>
            </w:r>
          </w:p>
        </w:tc>
        <w:tc>
          <w:tcPr>
            <w:tcW w:w="9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94.2</w:t>
            </w:r>
          </w:p>
        </w:tc>
        <w:tc>
          <w:tcPr>
            <w:tcW w:w="1097"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175FFC" w:rsidRPr="00175FFC" w:rsidRDefault="00175FFC" w:rsidP="00175FFC">
            <w:pPr>
              <w:spacing w:after="0" w:line="240" w:lineRule="auto"/>
              <w:jc w:val="center"/>
              <w:rPr>
                <w:rFonts w:ascii="Arial" w:eastAsia="Times New Roman" w:hAnsi="Arial" w:cs="Arial"/>
                <w:color w:val="000000"/>
                <w:sz w:val="18"/>
                <w:szCs w:val="18"/>
              </w:rPr>
            </w:pPr>
            <w:r w:rsidRPr="00175FFC">
              <w:rPr>
                <w:rFonts w:ascii="Arial" w:eastAsia="Times New Roman" w:hAnsi="Arial" w:cs="Arial"/>
                <w:color w:val="000000"/>
                <w:sz w:val="18"/>
                <w:szCs w:val="18"/>
              </w:rPr>
              <w:t>Yes</w:t>
            </w:r>
          </w:p>
        </w:tc>
      </w:tr>
    </w:tbl>
    <w:p w:rsidR="00AD6E36" w:rsidRDefault="00AD6E36" w:rsidP="009A5CD1">
      <w:pPr>
        <w:pStyle w:val="Heading2"/>
        <w:spacing w:before="360"/>
      </w:pPr>
      <w:bookmarkStart w:id="91" w:name="_Toc289178010"/>
      <w:bookmarkStart w:id="92" w:name="_Toc326072110"/>
      <w:bookmarkStart w:id="93" w:name="_Toc352323634"/>
      <w:r>
        <w:lastRenderedPageBreak/>
        <w:t xml:space="preserve">Load </w:t>
      </w:r>
      <w:r w:rsidRPr="00AD6E36">
        <w:t>Impacts</w:t>
      </w:r>
      <w:r>
        <w:t xml:space="preserve"> for Multi-DR P</w:t>
      </w:r>
      <w:r>
        <w:rPr>
          <w:rFonts w:hint="eastAsia"/>
        </w:rPr>
        <w:t>rogra</w:t>
      </w:r>
      <w:r>
        <w:t>m Participants</w:t>
      </w:r>
      <w:bookmarkEnd w:id="91"/>
      <w:bookmarkEnd w:id="92"/>
      <w:bookmarkEnd w:id="93"/>
    </w:p>
    <w:p w:rsidR="00AD6E36" w:rsidRDefault="00AD6E36" w:rsidP="009A5CD1">
      <w:pPr>
        <w:pStyle w:val="BodyBeforeBullet"/>
      </w:pPr>
      <w:r>
        <w:t xml:space="preserve">PG&amp;E CPP participants are allowed to enroll in </w:t>
      </w:r>
      <w:r w:rsidR="002F0046">
        <w:t xml:space="preserve">certain </w:t>
      </w:r>
      <w:r>
        <w:t>o</w:t>
      </w:r>
      <w:r w:rsidR="00584A33">
        <w:t>ther DR programs.  T</w:t>
      </w:r>
      <w:r>
        <w:t>o avoid double counting</w:t>
      </w:r>
      <w:r w:rsidR="00584A33">
        <w:t xml:space="preserve"> load impacts</w:t>
      </w:r>
      <w:r>
        <w:t xml:space="preserve"> when multiple DR programs are called, it is necessary to estimate the demand response under the CPP tariff for customers that are dually enrolled in other programs.  CPP </w:t>
      </w:r>
      <w:r w:rsidR="002F0046">
        <w:t>customers at PG&amp;E may</w:t>
      </w:r>
      <w:r>
        <w:t xml:space="preserve"> also participate in the following DR programs: </w:t>
      </w:r>
    </w:p>
    <w:p w:rsidR="00AD6E36" w:rsidRDefault="00AD6E36" w:rsidP="00AD6E36">
      <w:pPr>
        <w:pStyle w:val="Bullets"/>
      </w:pPr>
      <w:r>
        <w:rPr>
          <w:b/>
        </w:rPr>
        <w:t xml:space="preserve">Base Interruptible Program (BIP):  </w:t>
      </w:r>
      <w:r>
        <w:t>P</w:t>
      </w:r>
      <w:r w:rsidRPr="00BB6C1C">
        <w:t xml:space="preserve">ays </w:t>
      </w:r>
      <w:r>
        <w:t xml:space="preserve">customers </w:t>
      </w:r>
      <w:r w:rsidRPr="00BB6C1C">
        <w:t xml:space="preserve">an incentive to reduce load to or below a </w:t>
      </w:r>
      <w:r w:rsidR="002F0046">
        <w:t>pre</w:t>
      </w:r>
      <w:r>
        <w:t>selected, customer</w:t>
      </w:r>
      <w:r w:rsidR="002F0046">
        <w:t>-</w:t>
      </w:r>
      <w:r>
        <w:t xml:space="preserve">specific level known as the firm service level </w:t>
      </w:r>
      <w:r w:rsidRPr="00BB6C1C">
        <w:t>(FSL</w:t>
      </w:r>
      <w:r w:rsidR="00584A33">
        <w:t xml:space="preserve">).  Failure to reduce load to </w:t>
      </w:r>
      <w:r w:rsidR="002F0046">
        <w:t>the FSL on BIP event days</w:t>
      </w:r>
      <w:r>
        <w:t xml:space="preserve"> results in penalties.  </w:t>
      </w:r>
    </w:p>
    <w:p w:rsidR="00AD6E36" w:rsidRDefault="00AD6E36" w:rsidP="00AD6E36">
      <w:pPr>
        <w:pStyle w:val="Bullets"/>
      </w:pPr>
      <w:r>
        <w:rPr>
          <w:b/>
        </w:rPr>
        <w:t>Aggregator Managed Portfolio (AMP</w:t>
      </w:r>
      <w:r w:rsidRPr="00BB6C1C">
        <w:t>)</w:t>
      </w:r>
      <w:r w:rsidRPr="000171C5">
        <w:rPr>
          <w:b/>
        </w:rPr>
        <w:t>:</w:t>
      </w:r>
      <w:r w:rsidRPr="00BB6C1C">
        <w:t xml:space="preserve">  </w:t>
      </w:r>
      <w:r>
        <w:t>A</w:t>
      </w:r>
      <w:r w:rsidRPr="00BB6C1C">
        <w:t xml:space="preserve"> non-tariff program that consists of bilateral contracts with aggregators to provide PG&amp;E with price-responsive demand response. </w:t>
      </w:r>
      <w:r>
        <w:t xml:space="preserve"> </w:t>
      </w:r>
      <w:r w:rsidR="002F0046">
        <w:t>AMP events are</w:t>
      </w:r>
      <w:r w:rsidRPr="00BB6C1C">
        <w:t xml:space="preserve"> called at PG&amp;E’s discretion. </w:t>
      </w:r>
      <w:r>
        <w:t xml:space="preserve"> </w:t>
      </w:r>
      <w:r w:rsidRPr="00BB6C1C">
        <w:t>Each aggregator is responsible for designing and implementing</w:t>
      </w:r>
      <w:r w:rsidR="002F0046">
        <w:t xml:space="preserve"> its own program</w:t>
      </w:r>
      <w:r w:rsidRPr="00BB6C1C">
        <w:t>, including customer acquisition, marketing, sales, retention, support, event notification and payments.</w:t>
      </w:r>
    </w:p>
    <w:p w:rsidR="00AD6E36" w:rsidRDefault="00AD6E36" w:rsidP="00AD6E36">
      <w:pPr>
        <w:pStyle w:val="BulletLast"/>
      </w:pPr>
      <w:r>
        <w:rPr>
          <w:b/>
        </w:rPr>
        <w:t>Capacity Bidding Program (CBP</w:t>
      </w:r>
      <w:r w:rsidRPr="004820F7">
        <w:t>)</w:t>
      </w:r>
      <w:r w:rsidRPr="000171C5">
        <w:rPr>
          <w:b/>
        </w:rPr>
        <w:t>:</w:t>
      </w:r>
      <w:r w:rsidRPr="004820F7">
        <w:t xml:space="preserve">  </w:t>
      </w:r>
      <w:r>
        <w:t xml:space="preserve">A </w:t>
      </w:r>
      <w:r w:rsidRPr="004820F7">
        <w:t xml:space="preserve">monthly incentive </w:t>
      </w:r>
      <w:r>
        <w:t xml:space="preserve">is paid to </w:t>
      </w:r>
      <w:r w:rsidRPr="004820F7">
        <w:t xml:space="preserve">reduce energy use to a pre-determined amount </w:t>
      </w:r>
      <w:r w:rsidR="002F0046">
        <w:t xml:space="preserve">once an electric </w:t>
      </w:r>
      <w:r w:rsidRPr="004820F7">
        <w:t xml:space="preserve">resource generation facility reaches or exceeds heat rates of 15,000 Btu (British thermal units) per kWh. </w:t>
      </w:r>
      <w:r>
        <w:t xml:space="preserve"> </w:t>
      </w:r>
      <w:r w:rsidRPr="004820F7">
        <w:t xml:space="preserve">Load reduction commitment is on a month-by-month basis, with nominations made </w:t>
      </w:r>
      <w:r>
        <w:t>five</w:t>
      </w:r>
      <w:r w:rsidRPr="004820F7">
        <w:t xml:space="preserve"> days prior to the beginning of each month. </w:t>
      </w:r>
      <w:r>
        <w:t xml:space="preserve"> </w:t>
      </w:r>
      <w:r w:rsidRPr="004820F7">
        <w:t>Customers must enroll with (or as) a third-party aggregator to join the Capacity Bidding Program.</w:t>
      </w:r>
      <w:r>
        <w:t xml:space="preserve">  Customers can choose between day-ahead and day-of notification.  Only customers with day-of notification can be dually enrolled in CPP.  </w:t>
      </w:r>
    </w:p>
    <w:p w:rsidR="00AD6E36" w:rsidRDefault="00584A33" w:rsidP="00AD6E36">
      <w:pPr>
        <w:pStyle w:val="BodyParagraph"/>
      </w:pPr>
      <w:r>
        <w:t>Table 4-5</w:t>
      </w:r>
      <w:r w:rsidR="00AD6E36">
        <w:t xml:space="preserve"> shows CPP load impacts for customers that </w:t>
      </w:r>
      <w:r w:rsidR="002F0046">
        <w:t>ar</w:t>
      </w:r>
      <w:r w:rsidR="00D4143F">
        <w:t>e</w:t>
      </w:r>
      <w:r w:rsidR="002F0046">
        <w:t xml:space="preserve"> </w:t>
      </w:r>
      <w:r w:rsidR="00AD6E36">
        <w:t xml:space="preserve">dually enrolled in other demand response programs.  </w:t>
      </w:r>
      <w:r w:rsidR="00D4143F">
        <w:t>A</w:t>
      </w:r>
      <w:r w:rsidR="00AD6E36">
        <w:t xml:space="preserve"> word of caution </w:t>
      </w:r>
      <w:r>
        <w:t>is needed in reviewing Table 4-5</w:t>
      </w:r>
      <w:r w:rsidR="00AD6E36">
        <w:t>.  There are relatively few dually enrolled customers in any single DR program</w:t>
      </w:r>
      <w:r w:rsidR="00D4143F">
        <w:t xml:space="preserve">.  For example, there are only </w:t>
      </w:r>
      <w:r w:rsidR="00A102DA">
        <w:t>twenty</w:t>
      </w:r>
      <w:r w:rsidR="00AD6E36">
        <w:t xml:space="preserve"> customers enrolled in both CPP and </w:t>
      </w:r>
      <w:r w:rsidR="00D4143F">
        <w:t>CBP</w:t>
      </w:r>
      <w:r w:rsidR="00AD6E36">
        <w:t xml:space="preserve">.  Even the largest dual enrollment category, CPP and AMP, only has </w:t>
      </w:r>
      <w:r w:rsidR="00A102DA">
        <w:t>70</w:t>
      </w:r>
      <w:r w:rsidR="004D74A1">
        <w:t xml:space="preserve"> customers.  T</w:t>
      </w:r>
      <w:r w:rsidR="00AD6E36">
        <w:t xml:space="preserve">he significant variation in average and aggregate load impacts across dual enrollment categories probably has less to do with dual enrollment than it does with fundamental differences in the average characteristics and price responsiveness of the </w:t>
      </w:r>
      <w:r w:rsidR="004D74A1">
        <w:t xml:space="preserve">few </w:t>
      </w:r>
      <w:r w:rsidR="00AD6E36">
        <w:t>customers who happen to be in each category.  The estimates are useful for adjusting portfolio impact estimates under assumptions that both programs are called on the same day, but it is not appropriate to claim that customers dually</w:t>
      </w:r>
      <w:r w:rsidR="004D74A1">
        <w:t xml:space="preserve"> enrolled in CPP and CBP are</w:t>
      </w:r>
      <w:r w:rsidR="00AD6E36">
        <w:t xml:space="preserve"> more </w:t>
      </w:r>
      <w:r w:rsidR="004D74A1">
        <w:t xml:space="preserve">than twice as </w:t>
      </w:r>
      <w:r w:rsidR="00AD6E36">
        <w:t>price responsive compared with customers dually enrolled in CPP and AMP because the CBP program somehow supports CPP demand response better than the AMP program.  Said another way, while dual enrollment in CPP and CBP appears to correlate with above average load reductions, there is no basis to infer that any combination of dua</w:t>
      </w:r>
      <w:r>
        <w:t>l enrollment listed in Table 4-</w:t>
      </w:r>
      <w:r w:rsidR="00AB0FC8">
        <w:t>5</w:t>
      </w:r>
      <w:r w:rsidR="00AD6E36">
        <w:t xml:space="preserve"> causes CPP customers to respond better.  </w:t>
      </w:r>
    </w:p>
    <w:p w:rsidR="00AD6E36" w:rsidRDefault="005F0D2B" w:rsidP="009A5CD1">
      <w:pPr>
        <w:pStyle w:val="TableFigureCaption"/>
      </w:pPr>
      <w:r w:rsidRPr="009A5CD1">
        <w:t>Ta</w:t>
      </w:r>
      <w:r w:rsidR="003B56F5" w:rsidRPr="009A5CD1">
        <w:t>ble 4-5</w:t>
      </w:r>
      <w:r w:rsidR="00AD6E36" w:rsidRPr="009A5CD1">
        <w:t xml:space="preserve">: Estimated </w:t>
      </w:r>
      <w:r w:rsidR="00993363" w:rsidRPr="009A5CD1">
        <w:t xml:space="preserve">CPP </w:t>
      </w:r>
      <w:r w:rsidR="00AD6E36" w:rsidRPr="009A5CD1">
        <w:t xml:space="preserve">Ex Post Load Impacts </w:t>
      </w:r>
      <w:r w:rsidR="00993363" w:rsidRPr="009A5CD1">
        <w:t>for Dual Enrollment Participants</w:t>
      </w:r>
      <w:r w:rsidR="009A5CD1" w:rsidRPr="009A5CD1">
        <w:br/>
      </w:r>
      <w:r w:rsidR="00A91027" w:rsidRPr="009A5CD1">
        <w:t>Average 2012</w:t>
      </w:r>
      <w:r w:rsidR="00AD6E36" w:rsidRPr="009A5CD1">
        <w:t xml:space="preserve"> PG&amp;E CPP Event</w:t>
      </w:r>
    </w:p>
    <w:tbl>
      <w:tblPr>
        <w:tblW w:w="0" w:type="auto"/>
        <w:tblLayout w:type="fixed"/>
        <w:tblLook w:val="04A0" w:firstRow="1" w:lastRow="0" w:firstColumn="1" w:lastColumn="0" w:noHBand="0" w:noVBand="1"/>
      </w:tblPr>
      <w:tblGrid>
        <w:gridCol w:w="1203"/>
        <w:gridCol w:w="1023"/>
        <w:gridCol w:w="1023"/>
        <w:gridCol w:w="1023"/>
        <w:gridCol w:w="1023"/>
        <w:gridCol w:w="1023"/>
        <w:gridCol w:w="1022"/>
        <w:gridCol w:w="1022"/>
        <w:gridCol w:w="1084"/>
      </w:tblGrid>
      <w:tr w:rsidR="00A102DA" w:rsidRPr="00A102DA" w:rsidTr="00A102DA">
        <w:trPr>
          <w:trHeight w:val="1200"/>
        </w:trPr>
        <w:tc>
          <w:tcPr>
            <w:tcW w:w="1203" w:type="dxa"/>
            <w:tcBorders>
              <w:top w:val="single" w:sz="4" w:space="0" w:color="000000"/>
              <w:left w:val="single" w:sz="4" w:space="0" w:color="000000"/>
              <w:bottom w:val="single" w:sz="4" w:space="0" w:color="FFFFFF"/>
              <w:right w:val="single" w:sz="4" w:space="0" w:color="FFFFFF"/>
            </w:tcBorders>
            <w:shd w:val="clear" w:color="000000" w:fill="1F497D"/>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b/>
                <w:bCs/>
                <w:color w:val="FFFFFF"/>
                <w:sz w:val="18"/>
                <w:szCs w:val="18"/>
              </w:rPr>
            </w:pPr>
            <w:r w:rsidRPr="00A102DA">
              <w:rPr>
                <w:rFonts w:ascii="Arial" w:eastAsia="Times New Roman" w:hAnsi="Arial" w:cs="Arial"/>
                <w:b/>
                <w:bCs/>
                <w:color w:val="FFFFFF"/>
                <w:sz w:val="18"/>
                <w:szCs w:val="18"/>
              </w:rPr>
              <w:t>Dually Enrolled DR</w:t>
            </w:r>
          </w:p>
        </w:tc>
        <w:tc>
          <w:tcPr>
            <w:tcW w:w="1023" w:type="dxa"/>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b/>
                <w:bCs/>
                <w:color w:val="FFFFFF"/>
                <w:sz w:val="18"/>
                <w:szCs w:val="18"/>
              </w:rPr>
            </w:pPr>
            <w:r w:rsidRPr="00A102DA">
              <w:rPr>
                <w:rFonts w:ascii="Arial" w:eastAsia="Times New Roman" w:hAnsi="Arial" w:cs="Arial"/>
                <w:b/>
                <w:bCs/>
                <w:color w:val="FFFFFF"/>
                <w:sz w:val="18"/>
                <w:szCs w:val="18"/>
              </w:rPr>
              <w:t>Accts</w:t>
            </w:r>
          </w:p>
        </w:tc>
        <w:tc>
          <w:tcPr>
            <w:tcW w:w="1023" w:type="dxa"/>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b/>
                <w:bCs/>
                <w:color w:val="FFFFFF"/>
                <w:sz w:val="18"/>
                <w:szCs w:val="18"/>
              </w:rPr>
            </w:pPr>
            <w:r w:rsidRPr="00A102DA">
              <w:rPr>
                <w:rFonts w:ascii="Arial" w:eastAsia="Times New Roman" w:hAnsi="Arial" w:cs="Arial"/>
                <w:b/>
                <w:bCs/>
                <w:color w:val="FFFFFF"/>
                <w:sz w:val="18"/>
                <w:szCs w:val="18"/>
              </w:rPr>
              <w:t>Avg. Customer Reference Load (kW)</w:t>
            </w:r>
          </w:p>
        </w:tc>
        <w:tc>
          <w:tcPr>
            <w:tcW w:w="1023" w:type="dxa"/>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b/>
                <w:bCs/>
                <w:color w:val="FFFFFF"/>
                <w:sz w:val="18"/>
                <w:szCs w:val="18"/>
              </w:rPr>
            </w:pPr>
            <w:r w:rsidRPr="00A102DA">
              <w:rPr>
                <w:rFonts w:ascii="Arial" w:eastAsia="Times New Roman" w:hAnsi="Arial" w:cs="Arial"/>
                <w:b/>
                <w:bCs/>
                <w:color w:val="FFFFFF"/>
                <w:sz w:val="18"/>
                <w:szCs w:val="18"/>
              </w:rPr>
              <w:t>Avg. Customer Load w/ DR (kW)</w:t>
            </w:r>
          </w:p>
        </w:tc>
        <w:tc>
          <w:tcPr>
            <w:tcW w:w="1023" w:type="dxa"/>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b/>
                <w:bCs/>
                <w:color w:val="FFFFFF"/>
                <w:sz w:val="18"/>
                <w:szCs w:val="18"/>
              </w:rPr>
            </w:pPr>
            <w:r w:rsidRPr="00A102DA">
              <w:rPr>
                <w:rFonts w:ascii="Arial" w:eastAsia="Times New Roman" w:hAnsi="Arial" w:cs="Arial"/>
                <w:b/>
                <w:bCs/>
                <w:color w:val="FFFFFF"/>
                <w:sz w:val="18"/>
                <w:szCs w:val="18"/>
              </w:rPr>
              <w:t>Impact (kW)</w:t>
            </w:r>
          </w:p>
        </w:tc>
        <w:tc>
          <w:tcPr>
            <w:tcW w:w="1023" w:type="dxa"/>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b/>
                <w:bCs/>
                <w:color w:val="FFFFFF"/>
                <w:sz w:val="18"/>
                <w:szCs w:val="18"/>
              </w:rPr>
            </w:pPr>
            <w:r w:rsidRPr="00A102DA">
              <w:rPr>
                <w:rFonts w:ascii="Arial" w:eastAsia="Times New Roman" w:hAnsi="Arial" w:cs="Arial"/>
                <w:b/>
                <w:bCs/>
                <w:color w:val="FFFFFF"/>
                <w:sz w:val="18"/>
                <w:szCs w:val="18"/>
              </w:rPr>
              <w:t>Aggregate Impact (MW)</w:t>
            </w:r>
          </w:p>
        </w:tc>
        <w:tc>
          <w:tcPr>
            <w:tcW w:w="1022" w:type="dxa"/>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b/>
                <w:bCs/>
                <w:color w:val="FFFFFF"/>
                <w:sz w:val="18"/>
                <w:szCs w:val="18"/>
              </w:rPr>
            </w:pPr>
            <w:r w:rsidRPr="00A102DA">
              <w:rPr>
                <w:rFonts w:ascii="Arial" w:eastAsia="Times New Roman" w:hAnsi="Arial" w:cs="Arial"/>
                <w:b/>
                <w:bCs/>
                <w:color w:val="FFFFFF"/>
                <w:sz w:val="18"/>
                <w:szCs w:val="18"/>
              </w:rPr>
              <w:t>Reduction %</w:t>
            </w:r>
          </w:p>
        </w:tc>
        <w:tc>
          <w:tcPr>
            <w:tcW w:w="1022" w:type="dxa"/>
            <w:tcBorders>
              <w:top w:val="single" w:sz="4" w:space="0" w:color="000000"/>
              <w:left w:val="nil"/>
              <w:bottom w:val="single" w:sz="4" w:space="0" w:color="FFFFFF"/>
              <w:right w:val="single" w:sz="4" w:space="0" w:color="FFFFFF"/>
            </w:tcBorders>
            <w:shd w:val="clear" w:color="000000" w:fill="1F497D"/>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b/>
                <w:bCs/>
                <w:color w:val="FFFFFF"/>
                <w:sz w:val="18"/>
                <w:szCs w:val="18"/>
              </w:rPr>
            </w:pPr>
            <w:r w:rsidRPr="00A102DA">
              <w:rPr>
                <w:rFonts w:ascii="Arial" w:eastAsia="Times New Roman" w:hAnsi="Arial" w:cs="Arial"/>
                <w:b/>
                <w:bCs/>
                <w:color w:val="FFFFFF"/>
                <w:sz w:val="18"/>
                <w:szCs w:val="18"/>
              </w:rPr>
              <w:t>Avg. Temp. °F</w:t>
            </w:r>
          </w:p>
        </w:tc>
        <w:tc>
          <w:tcPr>
            <w:tcW w:w="1084" w:type="dxa"/>
            <w:tcBorders>
              <w:top w:val="single" w:sz="4" w:space="0" w:color="000000"/>
              <w:left w:val="nil"/>
              <w:bottom w:val="single" w:sz="4" w:space="0" w:color="FFFFFF"/>
              <w:right w:val="single" w:sz="4" w:space="0" w:color="000000"/>
            </w:tcBorders>
            <w:shd w:val="clear" w:color="000000" w:fill="1F497D"/>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b/>
                <w:bCs/>
                <w:color w:val="FFFFFF"/>
                <w:sz w:val="18"/>
                <w:szCs w:val="18"/>
              </w:rPr>
            </w:pPr>
            <w:r w:rsidRPr="00A102DA">
              <w:rPr>
                <w:rFonts w:ascii="Arial" w:eastAsia="Times New Roman" w:hAnsi="Arial" w:cs="Arial"/>
                <w:b/>
                <w:bCs/>
                <w:color w:val="FFFFFF"/>
                <w:sz w:val="18"/>
                <w:szCs w:val="18"/>
              </w:rPr>
              <w:t>Stat. significant?</w:t>
            </w:r>
          </w:p>
        </w:tc>
      </w:tr>
      <w:tr w:rsidR="00A102DA" w:rsidRPr="00A102DA" w:rsidTr="00A102DA">
        <w:trPr>
          <w:trHeight w:val="300"/>
        </w:trPr>
        <w:tc>
          <w:tcPr>
            <w:tcW w:w="1203" w:type="dxa"/>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AMP</w:t>
            </w:r>
          </w:p>
        </w:tc>
        <w:tc>
          <w:tcPr>
            <w:tcW w:w="1023"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70</w:t>
            </w:r>
          </w:p>
        </w:tc>
        <w:tc>
          <w:tcPr>
            <w:tcW w:w="1023"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323.2</w:t>
            </w:r>
          </w:p>
        </w:tc>
        <w:tc>
          <w:tcPr>
            <w:tcW w:w="1023"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281.1</w:t>
            </w:r>
          </w:p>
        </w:tc>
        <w:tc>
          <w:tcPr>
            <w:tcW w:w="1023"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42.1</w:t>
            </w:r>
          </w:p>
        </w:tc>
        <w:tc>
          <w:tcPr>
            <w:tcW w:w="1023"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2.9</w:t>
            </w:r>
          </w:p>
        </w:tc>
        <w:tc>
          <w:tcPr>
            <w:tcW w:w="1022"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13.0%</w:t>
            </w:r>
          </w:p>
        </w:tc>
        <w:tc>
          <w:tcPr>
            <w:tcW w:w="1022"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88.3</w:t>
            </w:r>
          </w:p>
        </w:tc>
        <w:tc>
          <w:tcPr>
            <w:tcW w:w="1084"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Yes</w:t>
            </w:r>
          </w:p>
        </w:tc>
      </w:tr>
      <w:tr w:rsidR="00A102DA" w:rsidRPr="00A102DA" w:rsidTr="00A102DA">
        <w:trPr>
          <w:trHeight w:val="300"/>
        </w:trPr>
        <w:tc>
          <w:tcPr>
            <w:tcW w:w="1203" w:type="dxa"/>
            <w:tcBorders>
              <w:top w:val="nil"/>
              <w:left w:val="single" w:sz="4" w:space="0" w:color="auto"/>
              <w:bottom w:val="single" w:sz="4" w:space="0" w:color="auto"/>
              <w:right w:val="single" w:sz="4" w:space="0" w:color="auto"/>
            </w:tcBorders>
            <w:shd w:val="clear" w:color="auto" w:fill="auto"/>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BIP</w:t>
            </w:r>
          </w:p>
        </w:tc>
        <w:tc>
          <w:tcPr>
            <w:tcW w:w="102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24</w:t>
            </w:r>
          </w:p>
        </w:tc>
        <w:tc>
          <w:tcPr>
            <w:tcW w:w="102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332.9</w:t>
            </w:r>
          </w:p>
        </w:tc>
        <w:tc>
          <w:tcPr>
            <w:tcW w:w="102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209.6</w:t>
            </w:r>
          </w:p>
        </w:tc>
        <w:tc>
          <w:tcPr>
            <w:tcW w:w="102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123.3</w:t>
            </w:r>
          </w:p>
        </w:tc>
        <w:tc>
          <w:tcPr>
            <w:tcW w:w="102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2.9</w:t>
            </w:r>
          </w:p>
        </w:tc>
        <w:tc>
          <w:tcPr>
            <w:tcW w:w="102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37.0%</w:t>
            </w:r>
          </w:p>
        </w:tc>
        <w:tc>
          <w:tcPr>
            <w:tcW w:w="102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91.1</w:t>
            </w:r>
          </w:p>
        </w:tc>
        <w:tc>
          <w:tcPr>
            <w:tcW w:w="108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Yes</w:t>
            </w:r>
          </w:p>
        </w:tc>
      </w:tr>
      <w:tr w:rsidR="00A102DA" w:rsidRPr="00A102DA" w:rsidTr="00A102DA">
        <w:trPr>
          <w:trHeight w:val="300"/>
        </w:trPr>
        <w:tc>
          <w:tcPr>
            <w:tcW w:w="1203" w:type="dxa"/>
            <w:tcBorders>
              <w:top w:val="nil"/>
              <w:left w:val="single" w:sz="4" w:space="0" w:color="auto"/>
              <w:bottom w:val="single" w:sz="4" w:space="0" w:color="auto"/>
              <w:right w:val="single" w:sz="4" w:space="0" w:color="auto"/>
            </w:tcBorders>
            <w:shd w:val="clear" w:color="auto" w:fill="auto"/>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CBP</w:t>
            </w:r>
          </w:p>
        </w:tc>
        <w:tc>
          <w:tcPr>
            <w:tcW w:w="102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20</w:t>
            </w:r>
          </w:p>
        </w:tc>
        <w:tc>
          <w:tcPr>
            <w:tcW w:w="102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572.4</w:t>
            </w:r>
          </w:p>
        </w:tc>
        <w:tc>
          <w:tcPr>
            <w:tcW w:w="102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376.7</w:t>
            </w:r>
          </w:p>
        </w:tc>
        <w:tc>
          <w:tcPr>
            <w:tcW w:w="102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195.7</w:t>
            </w:r>
          </w:p>
        </w:tc>
        <w:tc>
          <w:tcPr>
            <w:tcW w:w="1023"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4.0</w:t>
            </w:r>
          </w:p>
        </w:tc>
        <w:tc>
          <w:tcPr>
            <w:tcW w:w="102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34.2%</w:t>
            </w:r>
          </w:p>
        </w:tc>
        <w:tc>
          <w:tcPr>
            <w:tcW w:w="102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88.1</w:t>
            </w:r>
          </w:p>
        </w:tc>
        <w:tc>
          <w:tcPr>
            <w:tcW w:w="108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A102DA" w:rsidRPr="00A102DA" w:rsidRDefault="00A102DA" w:rsidP="00A102DA">
            <w:pPr>
              <w:spacing w:after="0" w:line="240" w:lineRule="auto"/>
              <w:jc w:val="center"/>
              <w:rPr>
                <w:rFonts w:ascii="Arial" w:eastAsia="Times New Roman" w:hAnsi="Arial" w:cs="Arial"/>
                <w:color w:val="000000"/>
                <w:sz w:val="18"/>
                <w:szCs w:val="18"/>
              </w:rPr>
            </w:pPr>
            <w:r w:rsidRPr="00A102DA">
              <w:rPr>
                <w:rFonts w:ascii="Arial" w:eastAsia="Times New Roman" w:hAnsi="Arial" w:cs="Arial"/>
                <w:color w:val="000000"/>
                <w:sz w:val="18"/>
                <w:szCs w:val="18"/>
              </w:rPr>
              <w:t>Yes</w:t>
            </w:r>
          </w:p>
        </w:tc>
      </w:tr>
    </w:tbl>
    <w:p w:rsidR="00AD6E36" w:rsidRDefault="00AD6E36" w:rsidP="009A5CD1">
      <w:pPr>
        <w:pStyle w:val="Heading2"/>
        <w:spacing w:before="360"/>
      </w:pPr>
      <w:bookmarkStart w:id="94" w:name="_Toc318473853"/>
      <w:bookmarkStart w:id="95" w:name="_Toc326072111"/>
      <w:bookmarkStart w:id="96" w:name="_Toc352323635"/>
      <w:r>
        <w:lastRenderedPageBreak/>
        <w:t xml:space="preserve">TI </w:t>
      </w:r>
      <w:r w:rsidRPr="009A5CD1">
        <w:t>and</w:t>
      </w:r>
      <w:r>
        <w:t xml:space="preserve"> </w:t>
      </w:r>
      <w:r w:rsidRPr="00AD6E36">
        <w:t>AutoDR</w:t>
      </w:r>
      <w:r>
        <w:t xml:space="preserve"> Load Impacts and Realization Rates</w:t>
      </w:r>
      <w:bookmarkEnd w:id="94"/>
      <w:bookmarkEnd w:id="95"/>
      <w:bookmarkEnd w:id="96"/>
    </w:p>
    <w:p w:rsidR="00AD6E36" w:rsidRDefault="00AD6E36" w:rsidP="00AD6E36">
      <w:pPr>
        <w:pStyle w:val="BodyParagraph"/>
      </w:pPr>
      <w:r>
        <w:t xml:space="preserve">The Technical Incentive (TI) and </w:t>
      </w:r>
      <w:r w:rsidR="00584A33">
        <w:t>Automated Demand Response (</w:t>
      </w:r>
      <w:r>
        <w:t>AutoDR</w:t>
      </w:r>
      <w:r w:rsidR="00584A33">
        <w:t>)</w:t>
      </w:r>
      <w:r>
        <w:t xml:space="preserve"> programs offered by PG&amp;E are designed to increase demand response for participating customers on CPP rates and </w:t>
      </w:r>
      <w:r w:rsidR="00A36070">
        <w:t>to provide</w:t>
      </w:r>
      <w:r>
        <w:t xml:space="preserve"> greater certainty regarding the amount of load shed during an event.  These programs involve a multi-step process that begins with technical ass</w:t>
      </w:r>
      <w:r w:rsidR="00A36070">
        <w:t xml:space="preserve">istance (TA), which is </w:t>
      </w:r>
      <w:r>
        <w:t xml:space="preserve">an audit to determine the potential for installing energy saving technology or </w:t>
      </w:r>
      <w:r w:rsidR="00584A33">
        <w:t xml:space="preserve">changing </w:t>
      </w:r>
      <w:r>
        <w:t>processes at a particular premise.  A technical incentive (TI) is paid if a customer installs equipment or reconfigures proc</w:t>
      </w:r>
      <w:r w:rsidR="00A36070">
        <w:t>esses and demonstrates that</w:t>
      </w:r>
      <w:r w:rsidR="000171C5">
        <w:t> </w:t>
      </w:r>
      <w:r w:rsidR="00A36070">
        <w:t>the investments and changes</w:t>
      </w:r>
      <w:r>
        <w:t xml:space="preserve"> produce load reductions.  Although the response is automated, customers must still decide whether and when to drop load.  AutoDR provides an incremental incentive to encourage customers to allow PG&amp;E to remotely dispatch the automated load reduction.  </w:t>
      </w:r>
    </w:p>
    <w:p w:rsidR="00AD6E36" w:rsidRDefault="00AD6E36" w:rsidP="00AD6E36">
      <w:pPr>
        <w:pStyle w:val="BodyParagraph"/>
      </w:pPr>
      <w:r>
        <w:t xml:space="preserve">From a policy perspective, it is important to understand if customers enrolled in these programs reach their approved load shed on </w:t>
      </w:r>
      <w:r w:rsidRPr="008A1951">
        <w:t>event</w:t>
      </w:r>
      <w:r>
        <w:t xml:space="preserve"> days.  The realization rate describes the percent of approved load shed that is met by the estimated impacts on event days.  It assumes that load reductions are due to automated reduction technology and not due to demand reductions from other end-uses.</w:t>
      </w:r>
    </w:p>
    <w:p w:rsidR="00AD6E36" w:rsidRPr="0029601C" w:rsidRDefault="00AD6E36" w:rsidP="00AD6E36">
      <w:pPr>
        <w:pStyle w:val="BodyParagraph"/>
      </w:pPr>
      <w:r>
        <w:t xml:space="preserve">A </w:t>
      </w:r>
      <w:r w:rsidRPr="008A1951">
        <w:t>statistically</w:t>
      </w:r>
      <w:r>
        <w:t xml:space="preserve"> valid assessment of TI and AutoDR is significantly hampered by the very small numbe</w:t>
      </w:r>
      <w:r w:rsidR="00CE0204">
        <w:t>r of customers that participate</w:t>
      </w:r>
      <w:r>
        <w:t xml:space="preserve"> in these complementar</w:t>
      </w:r>
      <w:r w:rsidR="00CE0204">
        <w:t>y programs.  There were only four</w:t>
      </w:r>
      <w:r>
        <w:t xml:space="preserve"> PG&amp;E accounts on the CPP tariff that rec</w:t>
      </w:r>
      <w:r w:rsidR="00CE0204">
        <w:t>eived TI payments and nine</w:t>
      </w:r>
      <w:r>
        <w:t xml:space="preserve"> AutoDR custo</w:t>
      </w:r>
      <w:r w:rsidR="00CE0204">
        <w:t>mers.  Table 4-</w:t>
      </w:r>
      <w:r w:rsidR="003B56F5">
        <w:t>6 shows the load impact of</w:t>
      </w:r>
      <w:r>
        <w:t xml:space="preserve"> the average customer on each of these programs on the average event day.  Customers </w:t>
      </w:r>
      <w:r w:rsidR="00CE0204">
        <w:t>with</w:t>
      </w:r>
      <w:r>
        <w:t xml:space="preserve"> TI showed </w:t>
      </w:r>
      <w:r w:rsidR="00CE0204">
        <w:t>smaller</w:t>
      </w:r>
      <w:r>
        <w:t xml:space="preserve"> than average percent impacts of</w:t>
      </w:r>
      <w:r w:rsidR="00CE0204">
        <w:t xml:space="preserve"> 4.5</w:t>
      </w:r>
      <w:r>
        <w:t>%</w:t>
      </w:r>
      <w:r w:rsidR="00CE0204">
        <w:t>, while AutoDR customers produced muc</w:t>
      </w:r>
      <w:r w:rsidR="00A36070">
        <w:t>h larger than average impacts of</w:t>
      </w:r>
      <w:r w:rsidR="00CE0204">
        <w:t xml:space="preserve"> 50.9</w:t>
      </w:r>
      <w:r w:rsidR="00A36070">
        <w:t>%</w:t>
      </w:r>
      <w:r>
        <w:t>.  However, given the extremely small number of customers on TI and AutoDR, the point impact estimates are surrounded by a significant amount of</w:t>
      </w:r>
      <w:r w:rsidR="0001340F">
        <w:t> </w:t>
      </w:r>
      <w:r>
        <w:t>uncertainty.</w:t>
      </w:r>
      <w:r w:rsidR="00CE0204">
        <w:t xml:space="preserve">  </w:t>
      </w:r>
      <w:r w:rsidR="00A36070">
        <w:t>The 90% confidence band is also presented; the wide band around the TI percent reduction statistic reflects the fact that there are only four PG&amp;E CPP cust</w:t>
      </w:r>
      <w:r w:rsidR="000171C5">
        <w:t>omers who have received TI</w:t>
      </w:r>
      <w:r w:rsidR="0001340F">
        <w:t> </w:t>
      </w:r>
      <w:r w:rsidR="00CA470C">
        <w:t>–</w:t>
      </w:r>
      <w:r w:rsidR="00A36070">
        <w:t xml:space="preserve"> impact estimates are liable to be </w:t>
      </w:r>
      <w:r w:rsidR="00A36070" w:rsidRPr="0029601C">
        <w:t xml:space="preserve">extremely inaccurate at such a granular level of analysis. </w:t>
      </w:r>
      <w:r w:rsidR="000171C5">
        <w:t xml:space="preserve"> </w:t>
      </w:r>
      <w:r w:rsidR="00A36070" w:rsidRPr="0029601C">
        <w:t>The AutoDR confidence interval is not nearly as wide as the interval for TI, but a significant amount of variation still occurs between the 10</w:t>
      </w:r>
      <w:r w:rsidR="00A36070" w:rsidRPr="0029601C">
        <w:rPr>
          <w:vertAlign w:val="superscript"/>
        </w:rPr>
        <w:t>th</w:t>
      </w:r>
      <w:r w:rsidR="00A36070" w:rsidRPr="0029601C">
        <w:t xml:space="preserve"> to 90</w:t>
      </w:r>
      <w:r w:rsidR="00A36070" w:rsidRPr="0029601C">
        <w:rPr>
          <w:vertAlign w:val="superscript"/>
        </w:rPr>
        <w:t>th</w:t>
      </w:r>
      <w:r w:rsidR="00A36070" w:rsidRPr="0029601C">
        <w:t xml:space="preserve"> percentiles.</w:t>
      </w:r>
    </w:p>
    <w:p w:rsidR="00AD6E36" w:rsidRPr="0029601C" w:rsidRDefault="003B56F5" w:rsidP="00AD6E36">
      <w:pPr>
        <w:pStyle w:val="TableFigureCaption"/>
        <w:rPr>
          <w:rFonts w:ascii="Verdana" w:hAnsi="Verdana" w:cs="Arial"/>
        </w:rPr>
      </w:pPr>
      <w:r>
        <w:rPr>
          <w:rFonts w:ascii="Verdana" w:hAnsi="Verdana" w:cs="Arial"/>
        </w:rPr>
        <w:t>Table 4-6</w:t>
      </w:r>
      <w:r w:rsidR="00AD6E36" w:rsidRPr="0029601C">
        <w:rPr>
          <w:rFonts w:ascii="Verdana" w:hAnsi="Verdana" w:cs="Arial"/>
        </w:rPr>
        <w:t xml:space="preserve">: Estimated Ex Post Load Impacts of TI &amp; </w:t>
      </w:r>
      <w:r w:rsidR="00A91027" w:rsidRPr="0029601C">
        <w:rPr>
          <w:rFonts w:ascii="Verdana" w:hAnsi="Verdana" w:cs="Arial"/>
        </w:rPr>
        <w:t>AutoDR Participants</w:t>
      </w:r>
      <w:r w:rsidR="00A91027" w:rsidRPr="0029601C">
        <w:rPr>
          <w:rFonts w:ascii="Verdana" w:hAnsi="Verdana" w:cs="Arial"/>
        </w:rPr>
        <w:br/>
        <w:t>Average 2012</w:t>
      </w:r>
      <w:r w:rsidR="00AD6E36" w:rsidRPr="0029601C">
        <w:rPr>
          <w:rFonts w:ascii="Verdana" w:hAnsi="Verdana" w:cs="Arial"/>
        </w:rPr>
        <w:t xml:space="preserve"> PG&amp;E CPP Event</w:t>
      </w:r>
    </w:p>
    <w:tbl>
      <w:tblPr>
        <w:tblW w:w="9473" w:type="dxa"/>
        <w:tblInd w:w="103" w:type="dxa"/>
        <w:tblLayout w:type="fixed"/>
        <w:tblLook w:val="04A0" w:firstRow="1" w:lastRow="0" w:firstColumn="1" w:lastColumn="0" w:noHBand="0" w:noVBand="1"/>
      </w:tblPr>
      <w:tblGrid>
        <w:gridCol w:w="1415"/>
        <w:gridCol w:w="1148"/>
        <w:gridCol w:w="1131"/>
        <w:gridCol w:w="1379"/>
        <w:gridCol w:w="872"/>
        <w:gridCol w:w="900"/>
        <w:gridCol w:w="1170"/>
        <w:gridCol w:w="1458"/>
      </w:tblGrid>
      <w:tr w:rsidR="009A5CD1" w:rsidRPr="00CE0204" w:rsidTr="009A5CD1">
        <w:trPr>
          <w:trHeight w:val="818"/>
        </w:trPr>
        <w:tc>
          <w:tcPr>
            <w:tcW w:w="1415" w:type="dxa"/>
            <w:vMerge w:val="restart"/>
            <w:tcBorders>
              <w:top w:val="single" w:sz="4" w:space="0" w:color="000000"/>
              <w:left w:val="single" w:sz="4" w:space="0" w:color="000000"/>
              <w:bottom w:val="single" w:sz="4" w:space="0" w:color="000000"/>
              <w:right w:val="single" w:sz="4" w:space="0" w:color="FFFFFF"/>
            </w:tcBorders>
            <w:shd w:val="clear" w:color="000000" w:fill="1F497D"/>
            <w:vAlign w:val="center"/>
            <w:hideMark/>
          </w:tcPr>
          <w:p w:rsidR="009A5CD1" w:rsidRPr="00CE0204" w:rsidRDefault="009A5CD1" w:rsidP="009A5CD1">
            <w:pPr>
              <w:pStyle w:val="TableHeader"/>
            </w:pPr>
            <w:r w:rsidRPr="00CE0204">
              <w:t>Enabling Technology</w:t>
            </w:r>
          </w:p>
        </w:tc>
        <w:tc>
          <w:tcPr>
            <w:tcW w:w="1148" w:type="dxa"/>
            <w:vMerge w:val="restart"/>
            <w:tcBorders>
              <w:top w:val="single" w:sz="4" w:space="0" w:color="000000"/>
              <w:left w:val="single" w:sz="4" w:space="0" w:color="FFFFFF"/>
              <w:bottom w:val="single" w:sz="4" w:space="0" w:color="000000"/>
              <w:right w:val="single" w:sz="4" w:space="0" w:color="FFFFFF"/>
            </w:tcBorders>
            <w:shd w:val="clear" w:color="000000" w:fill="1F497D"/>
            <w:vAlign w:val="center"/>
            <w:hideMark/>
          </w:tcPr>
          <w:p w:rsidR="009A5CD1" w:rsidRPr="00CE0204" w:rsidRDefault="009A5CD1" w:rsidP="009A5CD1">
            <w:pPr>
              <w:pStyle w:val="TableHeader"/>
            </w:pPr>
            <w:r w:rsidRPr="00CE0204">
              <w:t>Accounts</w:t>
            </w:r>
          </w:p>
        </w:tc>
        <w:tc>
          <w:tcPr>
            <w:tcW w:w="1131" w:type="dxa"/>
            <w:vMerge w:val="restart"/>
            <w:tcBorders>
              <w:top w:val="single" w:sz="4" w:space="0" w:color="000000"/>
              <w:left w:val="nil"/>
              <w:right w:val="single" w:sz="4" w:space="0" w:color="FFFFFF"/>
            </w:tcBorders>
            <w:shd w:val="clear" w:color="000000" w:fill="1F497D"/>
            <w:vAlign w:val="center"/>
            <w:hideMark/>
          </w:tcPr>
          <w:p w:rsidR="009A5CD1" w:rsidRPr="00CE0204" w:rsidRDefault="009A5CD1" w:rsidP="009A5CD1">
            <w:pPr>
              <w:pStyle w:val="TableHeader"/>
            </w:pPr>
            <w:r w:rsidRPr="00CE0204">
              <w:t>Load Impact</w:t>
            </w:r>
            <w:r>
              <w:t xml:space="preserve"> </w:t>
            </w:r>
            <w:r w:rsidRPr="00CE0204">
              <w:t>(kW)</w:t>
            </w:r>
          </w:p>
        </w:tc>
        <w:tc>
          <w:tcPr>
            <w:tcW w:w="1379" w:type="dxa"/>
            <w:vMerge w:val="restart"/>
            <w:tcBorders>
              <w:top w:val="single" w:sz="4" w:space="0" w:color="000000"/>
              <w:left w:val="nil"/>
              <w:right w:val="single" w:sz="4" w:space="0" w:color="FFFFFF"/>
            </w:tcBorders>
            <w:shd w:val="clear" w:color="000000" w:fill="1F497D"/>
            <w:vAlign w:val="center"/>
            <w:hideMark/>
          </w:tcPr>
          <w:p w:rsidR="009A5CD1" w:rsidRPr="00CE0204" w:rsidRDefault="009A5CD1" w:rsidP="000171C5">
            <w:pPr>
              <w:pStyle w:val="TableHeader"/>
            </w:pPr>
            <w:r w:rsidRPr="00CE0204">
              <w:t>% Reduction</w:t>
            </w:r>
          </w:p>
        </w:tc>
        <w:tc>
          <w:tcPr>
            <w:tcW w:w="1772" w:type="dxa"/>
            <w:gridSpan w:val="2"/>
            <w:tcBorders>
              <w:top w:val="single" w:sz="4" w:space="0" w:color="000000"/>
              <w:left w:val="nil"/>
              <w:bottom w:val="single" w:sz="4" w:space="0" w:color="FFFFFF"/>
              <w:right w:val="single" w:sz="4" w:space="0" w:color="FFFFFF"/>
            </w:tcBorders>
            <w:shd w:val="clear" w:color="000000" w:fill="1F497D"/>
            <w:vAlign w:val="center"/>
            <w:hideMark/>
          </w:tcPr>
          <w:p w:rsidR="009A5CD1" w:rsidRPr="00CE0204" w:rsidRDefault="009A5CD1" w:rsidP="009A5CD1">
            <w:pPr>
              <w:pStyle w:val="TableHeader"/>
            </w:pPr>
            <w:r w:rsidRPr="00CE0204">
              <w:t>90% Confidence Interval</w:t>
            </w:r>
          </w:p>
        </w:tc>
        <w:tc>
          <w:tcPr>
            <w:tcW w:w="1170" w:type="dxa"/>
            <w:vMerge w:val="restart"/>
            <w:tcBorders>
              <w:top w:val="single" w:sz="4" w:space="0" w:color="000000"/>
              <w:left w:val="nil"/>
              <w:right w:val="single" w:sz="4" w:space="0" w:color="FFFFFF"/>
            </w:tcBorders>
            <w:shd w:val="clear" w:color="000000" w:fill="1F497D"/>
            <w:vAlign w:val="center"/>
            <w:hideMark/>
          </w:tcPr>
          <w:p w:rsidR="009A5CD1" w:rsidRPr="00CE0204" w:rsidRDefault="009A5CD1" w:rsidP="000171C5">
            <w:pPr>
              <w:pStyle w:val="TableHeader"/>
            </w:pPr>
            <w:r w:rsidRPr="00CE0204">
              <w:t>Approved kW</w:t>
            </w:r>
          </w:p>
        </w:tc>
        <w:tc>
          <w:tcPr>
            <w:tcW w:w="1458" w:type="dxa"/>
            <w:vMerge w:val="restart"/>
            <w:tcBorders>
              <w:top w:val="single" w:sz="4" w:space="0" w:color="000000"/>
              <w:left w:val="nil"/>
              <w:right w:val="single" w:sz="4" w:space="0" w:color="000000"/>
            </w:tcBorders>
            <w:shd w:val="clear" w:color="000000" w:fill="1F497D"/>
            <w:vAlign w:val="center"/>
            <w:hideMark/>
          </w:tcPr>
          <w:p w:rsidR="009A5CD1" w:rsidRPr="00CE0204" w:rsidRDefault="009A5CD1" w:rsidP="000171C5">
            <w:pPr>
              <w:pStyle w:val="TableHeader"/>
            </w:pPr>
            <w:r w:rsidRPr="00CE0204">
              <w:t>Realization Rate</w:t>
            </w:r>
            <w:r w:rsidR="000171C5">
              <w:t xml:space="preserve"> </w:t>
            </w:r>
          </w:p>
        </w:tc>
      </w:tr>
      <w:tr w:rsidR="009A5CD1" w:rsidRPr="00CE0204" w:rsidTr="000171C5">
        <w:trPr>
          <w:trHeight w:val="44"/>
        </w:trPr>
        <w:tc>
          <w:tcPr>
            <w:tcW w:w="1415" w:type="dxa"/>
            <w:vMerge/>
            <w:tcBorders>
              <w:top w:val="single" w:sz="4" w:space="0" w:color="000000"/>
              <w:left w:val="single" w:sz="4" w:space="0" w:color="000000"/>
              <w:bottom w:val="single" w:sz="4" w:space="0" w:color="000000"/>
              <w:right w:val="single" w:sz="4" w:space="0" w:color="FFFFFF"/>
            </w:tcBorders>
            <w:vAlign w:val="center"/>
            <w:hideMark/>
          </w:tcPr>
          <w:p w:rsidR="009A5CD1" w:rsidRPr="00CE0204" w:rsidRDefault="009A5CD1" w:rsidP="009A5CD1">
            <w:pPr>
              <w:pStyle w:val="TableHeader"/>
            </w:pPr>
          </w:p>
        </w:tc>
        <w:tc>
          <w:tcPr>
            <w:tcW w:w="1148" w:type="dxa"/>
            <w:vMerge/>
            <w:tcBorders>
              <w:top w:val="single" w:sz="4" w:space="0" w:color="000000"/>
              <w:left w:val="single" w:sz="4" w:space="0" w:color="FFFFFF"/>
              <w:bottom w:val="single" w:sz="4" w:space="0" w:color="000000"/>
              <w:right w:val="single" w:sz="4" w:space="0" w:color="FFFFFF"/>
            </w:tcBorders>
            <w:vAlign w:val="center"/>
            <w:hideMark/>
          </w:tcPr>
          <w:p w:rsidR="009A5CD1" w:rsidRPr="00CE0204" w:rsidRDefault="009A5CD1" w:rsidP="009A5CD1">
            <w:pPr>
              <w:pStyle w:val="TableHeader"/>
            </w:pPr>
          </w:p>
        </w:tc>
        <w:tc>
          <w:tcPr>
            <w:tcW w:w="1131" w:type="dxa"/>
            <w:vMerge/>
            <w:tcBorders>
              <w:left w:val="nil"/>
              <w:bottom w:val="single" w:sz="4" w:space="0" w:color="000000"/>
              <w:right w:val="single" w:sz="4" w:space="0" w:color="FFFFFF"/>
            </w:tcBorders>
            <w:shd w:val="clear" w:color="000000" w:fill="1F497D"/>
            <w:noWrap/>
            <w:vAlign w:val="center"/>
            <w:hideMark/>
          </w:tcPr>
          <w:p w:rsidR="009A5CD1" w:rsidRPr="00CE0204" w:rsidRDefault="009A5CD1" w:rsidP="009A5CD1">
            <w:pPr>
              <w:pStyle w:val="TableHeader"/>
            </w:pPr>
          </w:p>
        </w:tc>
        <w:tc>
          <w:tcPr>
            <w:tcW w:w="1379" w:type="dxa"/>
            <w:vMerge/>
            <w:tcBorders>
              <w:left w:val="nil"/>
              <w:bottom w:val="single" w:sz="4" w:space="0" w:color="000000"/>
              <w:right w:val="single" w:sz="4" w:space="0" w:color="FFFFFF"/>
            </w:tcBorders>
            <w:shd w:val="clear" w:color="000000" w:fill="1F497D"/>
            <w:noWrap/>
            <w:vAlign w:val="center"/>
            <w:hideMark/>
          </w:tcPr>
          <w:p w:rsidR="009A5CD1" w:rsidRPr="00CE0204" w:rsidRDefault="009A5CD1" w:rsidP="009A5CD1">
            <w:pPr>
              <w:pStyle w:val="TableHeader"/>
            </w:pPr>
          </w:p>
        </w:tc>
        <w:tc>
          <w:tcPr>
            <w:tcW w:w="872" w:type="dxa"/>
            <w:tcBorders>
              <w:top w:val="nil"/>
              <w:left w:val="nil"/>
              <w:bottom w:val="single" w:sz="4" w:space="0" w:color="000000"/>
              <w:right w:val="single" w:sz="4" w:space="0" w:color="FFFFFF"/>
            </w:tcBorders>
            <w:shd w:val="clear" w:color="000000" w:fill="1F497D"/>
            <w:noWrap/>
            <w:vAlign w:val="center"/>
            <w:hideMark/>
          </w:tcPr>
          <w:p w:rsidR="009A5CD1" w:rsidRPr="00CE0204" w:rsidRDefault="009A5CD1" w:rsidP="009A5CD1">
            <w:pPr>
              <w:pStyle w:val="TableHeader"/>
            </w:pPr>
            <w:r w:rsidRPr="00CE0204">
              <w:t>Lower</w:t>
            </w:r>
          </w:p>
        </w:tc>
        <w:tc>
          <w:tcPr>
            <w:tcW w:w="900" w:type="dxa"/>
            <w:tcBorders>
              <w:top w:val="nil"/>
              <w:left w:val="nil"/>
              <w:bottom w:val="single" w:sz="4" w:space="0" w:color="000000"/>
              <w:right w:val="single" w:sz="4" w:space="0" w:color="FFFFFF"/>
            </w:tcBorders>
            <w:shd w:val="clear" w:color="000000" w:fill="1F497D"/>
            <w:noWrap/>
            <w:vAlign w:val="center"/>
            <w:hideMark/>
          </w:tcPr>
          <w:p w:rsidR="009A5CD1" w:rsidRPr="00CE0204" w:rsidRDefault="009A5CD1" w:rsidP="009A5CD1">
            <w:pPr>
              <w:pStyle w:val="TableHeader"/>
            </w:pPr>
            <w:r w:rsidRPr="00CE0204">
              <w:t>Upper</w:t>
            </w:r>
          </w:p>
        </w:tc>
        <w:tc>
          <w:tcPr>
            <w:tcW w:w="1170" w:type="dxa"/>
            <w:vMerge/>
            <w:tcBorders>
              <w:left w:val="nil"/>
              <w:bottom w:val="single" w:sz="4" w:space="0" w:color="000000"/>
              <w:right w:val="single" w:sz="4" w:space="0" w:color="FFFFFF"/>
            </w:tcBorders>
            <w:shd w:val="clear" w:color="000000" w:fill="1F497D"/>
            <w:noWrap/>
            <w:vAlign w:val="center"/>
            <w:hideMark/>
          </w:tcPr>
          <w:p w:rsidR="009A5CD1" w:rsidRPr="00CE0204" w:rsidRDefault="009A5CD1" w:rsidP="009A5CD1">
            <w:pPr>
              <w:pStyle w:val="TableHeader"/>
            </w:pPr>
          </w:p>
        </w:tc>
        <w:tc>
          <w:tcPr>
            <w:tcW w:w="1458" w:type="dxa"/>
            <w:vMerge/>
            <w:tcBorders>
              <w:left w:val="nil"/>
              <w:bottom w:val="single" w:sz="4" w:space="0" w:color="000000"/>
              <w:right w:val="single" w:sz="4" w:space="0" w:color="000000"/>
            </w:tcBorders>
            <w:shd w:val="clear" w:color="000000" w:fill="1F497D"/>
            <w:noWrap/>
            <w:vAlign w:val="center"/>
            <w:hideMark/>
          </w:tcPr>
          <w:p w:rsidR="009A5CD1" w:rsidRPr="00CE0204" w:rsidRDefault="009A5CD1" w:rsidP="009A5CD1">
            <w:pPr>
              <w:pStyle w:val="TableHeader"/>
            </w:pPr>
          </w:p>
        </w:tc>
      </w:tr>
      <w:tr w:rsidR="009A5CD1" w:rsidRPr="00CE0204" w:rsidTr="009A5CD1">
        <w:trPr>
          <w:trHeight w:val="510"/>
        </w:trPr>
        <w:tc>
          <w:tcPr>
            <w:tcW w:w="1415" w:type="dxa"/>
            <w:tcBorders>
              <w:top w:val="nil"/>
              <w:left w:val="single" w:sz="4" w:space="0" w:color="000000"/>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TI</w:t>
            </w:r>
          </w:p>
        </w:tc>
        <w:tc>
          <w:tcPr>
            <w:tcW w:w="1148" w:type="dxa"/>
            <w:tcBorders>
              <w:top w:val="nil"/>
              <w:left w:val="nil"/>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4</w:t>
            </w:r>
          </w:p>
        </w:tc>
        <w:tc>
          <w:tcPr>
            <w:tcW w:w="1131" w:type="dxa"/>
            <w:tcBorders>
              <w:top w:val="nil"/>
              <w:left w:val="nil"/>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26.2</w:t>
            </w:r>
          </w:p>
        </w:tc>
        <w:tc>
          <w:tcPr>
            <w:tcW w:w="1379" w:type="dxa"/>
            <w:tcBorders>
              <w:top w:val="nil"/>
              <w:left w:val="nil"/>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4.5%</w:t>
            </w:r>
          </w:p>
        </w:tc>
        <w:tc>
          <w:tcPr>
            <w:tcW w:w="872" w:type="dxa"/>
            <w:tcBorders>
              <w:top w:val="nil"/>
              <w:left w:val="nil"/>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-2.2%</w:t>
            </w:r>
          </w:p>
        </w:tc>
        <w:tc>
          <w:tcPr>
            <w:tcW w:w="900" w:type="dxa"/>
            <w:tcBorders>
              <w:top w:val="nil"/>
              <w:left w:val="nil"/>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11.3%</w:t>
            </w:r>
          </w:p>
        </w:tc>
        <w:tc>
          <w:tcPr>
            <w:tcW w:w="1170" w:type="dxa"/>
            <w:tcBorders>
              <w:top w:val="nil"/>
              <w:left w:val="nil"/>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309.0</w:t>
            </w:r>
          </w:p>
        </w:tc>
        <w:tc>
          <w:tcPr>
            <w:tcW w:w="1458" w:type="dxa"/>
            <w:tcBorders>
              <w:top w:val="nil"/>
              <w:left w:val="nil"/>
              <w:bottom w:val="single" w:sz="4" w:space="0" w:color="auto"/>
              <w:right w:val="single" w:sz="4" w:space="0" w:color="000000"/>
            </w:tcBorders>
            <w:shd w:val="clear" w:color="auto" w:fill="auto"/>
            <w:noWrap/>
            <w:vAlign w:val="center"/>
            <w:hideMark/>
          </w:tcPr>
          <w:p w:rsidR="00CE0204" w:rsidRPr="00CE0204" w:rsidRDefault="00CE0204" w:rsidP="009A5CD1">
            <w:pPr>
              <w:pStyle w:val="TableText"/>
            </w:pPr>
            <w:r w:rsidRPr="00CE0204">
              <w:t>8%</w:t>
            </w:r>
          </w:p>
        </w:tc>
      </w:tr>
      <w:tr w:rsidR="009A5CD1" w:rsidRPr="00CE0204" w:rsidTr="009A5CD1">
        <w:trPr>
          <w:trHeight w:val="510"/>
        </w:trPr>
        <w:tc>
          <w:tcPr>
            <w:tcW w:w="1415" w:type="dxa"/>
            <w:tcBorders>
              <w:top w:val="nil"/>
              <w:left w:val="single" w:sz="4" w:space="0" w:color="000000"/>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AutoDR</w:t>
            </w:r>
          </w:p>
        </w:tc>
        <w:tc>
          <w:tcPr>
            <w:tcW w:w="1148" w:type="dxa"/>
            <w:tcBorders>
              <w:top w:val="nil"/>
              <w:left w:val="nil"/>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9</w:t>
            </w:r>
          </w:p>
        </w:tc>
        <w:tc>
          <w:tcPr>
            <w:tcW w:w="1131" w:type="dxa"/>
            <w:tcBorders>
              <w:top w:val="nil"/>
              <w:left w:val="nil"/>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245.6</w:t>
            </w:r>
          </w:p>
        </w:tc>
        <w:tc>
          <w:tcPr>
            <w:tcW w:w="1379" w:type="dxa"/>
            <w:tcBorders>
              <w:top w:val="nil"/>
              <w:left w:val="nil"/>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50.9%</w:t>
            </w:r>
          </w:p>
        </w:tc>
        <w:tc>
          <w:tcPr>
            <w:tcW w:w="872" w:type="dxa"/>
            <w:tcBorders>
              <w:top w:val="nil"/>
              <w:left w:val="nil"/>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44.2%</w:t>
            </w:r>
          </w:p>
        </w:tc>
        <w:tc>
          <w:tcPr>
            <w:tcW w:w="900" w:type="dxa"/>
            <w:tcBorders>
              <w:top w:val="nil"/>
              <w:left w:val="nil"/>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57.7%</w:t>
            </w:r>
          </w:p>
        </w:tc>
        <w:tc>
          <w:tcPr>
            <w:tcW w:w="1170" w:type="dxa"/>
            <w:tcBorders>
              <w:top w:val="nil"/>
              <w:left w:val="nil"/>
              <w:bottom w:val="single" w:sz="4" w:space="0" w:color="auto"/>
              <w:right w:val="single" w:sz="4" w:space="0" w:color="auto"/>
            </w:tcBorders>
            <w:shd w:val="clear" w:color="auto" w:fill="auto"/>
            <w:noWrap/>
            <w:vAlign w:val="center"/>
            <w:hideMark/>
          </w:tcPr>
          <w:p w:rsidR="00CE0204" w:rsidRPr="00CE0204" w:rsidRDefault="00CE0204" w:rsidP="009A5CD1">
            <w:pPr>
              <w:pStyle w:val="TableText"/>
            </w:pPr>
            <w:r w:rsidRPr="00CE0204">
              <w:t>526.9</w:t>
            </w:r>
          </w:p>
        </w:tc>
        <w:tc>
          <w:tcPr>
            <w:tcW w:w="1458" w:type="dxa"/>
            <w:tcBorders>
              <w:top w:val="nil"/>
              <w:left w:val="nil"/>
              <w:bottom w:val="single" w:sz="4" w:space="0" w:color="auto"/>
              <w:right w:val="single" w:sz="4" w:space="0" w:color="000000"/>
            </w:tcBorders>
            <w:shd w:val="clear" w:color="auto" w:fill="auto"/>
            <w:noWrap/>
            <w:vAlign w:val="center"/>
            <w:hideMark/>
          </w:tcPr>
          <w:p w:rsidR="00CE0204" w:rsidRPr="00CE0204" w:rsidRDefault="00CE0204" w:rsidP="009A5CD1">
            <w:pPr>
              <w:pStyle w:val="TableText"/>
            </w:pPr>
            <w:r w:rsidRPr="00CE0204">
              <w:t>47%</w:t>
            </w:r>
          </w:p>
        </w:tc>
      </w:tr>
    </w:tbl>
    <w:p w:rsidR="00AD6E36" w:rsidRDefault="003B56F5" w:rsidP="00A36070">
      <w:pPr>
        <w:pStyle w:val="BodyParaAfterTableFigure"/>
      </w:pPr>
      <w:r>
        <w:t>Table 4-6</w:t>
      </w:r>
      <w:r w:rsidR="00CE0204">
        <w:t xml:space="preserve"> also presents realization rates for TI and AutoDR.  </w:t>
      </w:r>
      <w:r w:rsidR="00AD6E36">
        <w:t xml:space="preserve">Because of the very small sample sizes, these estimates </w:t>
      </w:r>
      <w:r w:rsidR="00CE0204">
        <w:t xml:space="preserve">for realization rates must also be used </w:t>
      </w:r>
      <w:r w:rsidR="00AD6E36">
        <w:t xml:space="preserve">with extreme caution.  The realization rate estimates were developed by taking the average impact for customers who were enrolled in TI or AutoDR and dividing it by the average of the approved TI or AutoDR load shed.  </w:t>
      </w:r>
      <w:r w:rsidR="00A36070">
        <w:t xml:space="preserve">TI </w:t>
      </w:r>
      <w:r w:rsidR="00AD6E36">
        <w:t>realization rate</w:t>
      </w:r>
      <w:r w:rsidR="00A36070">
        <w:t>s depend</w:t>
      </w:r>
      <w:r w:rsidR="00AD6E36">
        <w:t xml:space="preserve"> on whether the equipment is typically used during event-like conditions and whether </w:t>
      </w:r>
      <w:r w:rsidR="00AD6E36">
        <w:lastRenderedPageBreak/>
        <w:t>customers decide t</w:t>
      </w:r>
      <w:r w:rsidR="00A36070">
        <w:t>o drop load on CPP event days.</w:t>
      </w:r>
      <w:r w:rsidR="00AD6E36">
        <w:t xml:space="preserve">  </w:t>
      </w:r>
      <w:r w:rsidR="00D058A3">
        <w:t>The aver</w:t>
      </w:r>
      <w:r>
        <w:t xml:space="preserve">age TI realization rate is </w:t>
      </w:r>
      <w:r w:rsidR="00D058A3">
        <w:t>8%, while the</w:t>
      </w:r>
      <w:r w:rsidR="000171C5">
        <w:t> </w:t>
      </w:r>
      <w:r w:rsidR="00D058A3">
        <w:t>average AutoDR realization rate is 47%.</w:t>
      </w:r>
      <w:r w:rsidR="00AD6E36">
        <w:t xml:space="preserve"> </w:t>
      </w:r>
    </w:p>
    <w:p w:rsidR="00D81164" w:rsidRPr="00872720" w:rsidRDefault="00D81164" w:rsidP="00D81164">
      <w:pPr>
        <w:pStyle w:val="Heading2"/>
        <w:spacing w:before="360"/>
      </w:pPr>
      <w:bookmarkStart w:id="97" w:name="_Toc352323636"/>
      <w:r w:rsidRPr="00872720">
        <w:t>Default CPP Persistence and Weather Sensitivity</w:t>
      </w:r>
      <w:bookmarkEnd w:id="97"/>
    </w:p>
    <w:p w:rsidR="00D81164" w:rsidRPr="00872720" w:rsidRDefault="00D81164" w:rsidP="00D81164">
      <w:pPr>
        <w:pStyle w:val="BodyParagraph"/>
        <w:rPr>
          <w:rFonts w:ascii="Arial" w:hAnsi="Arial"/>
        </w:rPr>
      </w:pPr>
      <w:r w:rsidRPr="00872720">
        <w:t>Whether default CPP load impacts grow, decrease or remain constant has important implications for long term resource planning and policy.</w:t>
      </w:r>
      <w:r w:rsidR="00C23005">
        <w:t xml:space="preserve">  </w:t>
      </w:r>
      <w:r w:rsidRPr="00872720">
        <w:t>So does the weather sensitivity of demand reductions.</w:t>
      </w:r>
      <w:r w:rsidR="0003629F" w:rsidRPr="00872720">
        <w:t xml:space="preserve">  A program that provides larger demand reduction when temperatures are hotter and resources are in short supply is more valuable than one that provides constant or decreasing demand reductions as temperatures increase.</w:t>
      </w:r>
      <w:r w:rsidRPr="00872720">
        <w:t xml:space="preserve">  Persistence analysis is, by necessity, a multi-year analysis. </w:t>
      </w:r>
      <w:r w:rsidR="001B493E" w:rsidRPr="00872720">
        <w:t xml:space="preserve"> Taking a broader perspective allows </w:t>
      </w:r>
      <w:r w:rsidR="00C23005">
        <w:t xml:space="preserve">for </w:t>
      </w:r>
      <w:r w:rsidR="001B493E" w:rsidRPr="00872720">
        <w:t>better assess</w:t>
      </w:r>
      <w:r w:rsidR="00C23005">
        <w:t xml:space="preserve">ment of </w:t>
      </w:r>
      <w:r w:rsidR="001B493E" w:rsidRPr="00872720">
        <w:t>overall performance and volatility in demand reductions.  It also can help determine whether factors such as weather affect performance.  Too few data points</w:t>
      </w:r>
      <w:r w:rsidR="0001340F">
        <w:t> </w:t>
      </w:r>
      <w:r w:rsidR="001B493E" w:rsidRPr="00872720">
        <w:t>weaken the ability to produce reliable estimates and to draw inferences about factors that affect</w:t>
      </w:r>
      <w:r w:rsidR="0001340F">
        <w:t> </w:t>
      </w:r>
      <w:r w:rsidR="001B493E" w:rsidRPr="00872720">
        <w:t>performance.</w:t>
      </w:r>
    </w:p>
    <w:p w:rsidR="005D51F9" w:rsidRDefault="001B493E" w:rsidP="00040C8D">
      <w:pPr>
        <w:pStyle w:val="BodyParagraph"/>
      </w:pPr>
      <w:r w:rsidRPr="00872720">
        <w:t>It is not enough to simply compare the 2010, 2011 and 2012 results.  Differences in program impacts can arise because of changes in customer mix, weather, day of week and other idiosyncrasies.  To analyze persistence and weather sensitivity, we:</w:t>
      </w:r>
    </w:p>
    <w:p w:rsidR="001E3B5B" w:rsidRDefault="001B493E" w:rsidP="00340FC0">
      <w:pPr>
        <w:pStyle w:val="Bullets"/>
      </w:pPr>
      <w:r w:rsidRPr="00872720">
        <w:t>Narrow</w:t>
      </w:r>
      <w:r w:rsidR="0001340F">
        <w:t>ed</w:t>
      </w:r>
      <w:r w:rsidRPr="00872720">
        <w:t xml:space="preserve"> the analysis to customers that were enrolled on CPP rates for each of the 25 events;</w:t>
      </w:r>
    </w:p>
    <w:p w:rsidR="001E3B5B" w:rsidRDefault="00D81164" w:rsidP="00340FC0">
      <w:pPr>
        <w:pStyle w:val="Bullets"/>
      </w:pPr>
      <w:r w:rsidRPr="00872720">
        <w:t>Select</w:t>
      </w:r>
      <w:r w:rsidR="0001340F">
        <w:t>ed</w:t>
      </w:r>
      <w:r w:rsidRPr="00872720">
        <w:t xml:space="preserve"> matched control groups from customers that were present over the same time span but were not enrolled on CPP</w:t>
      </w:r>
      <w:r w:rsidR="001B493E" w:rsidRPr="00872720">
        <w:t>;</w:t>
      </w:r>
    </w:p>
    <w:p w:rsidR="001E3B5B" w:rsidRDefault="00D81164" w:rsidP="00340FC0">
      <w:pPr>
        <w:pStyle w:val="Bullets"/>
      </w:pPr>
      <w:r w:rsidRPr="00872720">
        <w:t>Calculate</w:t>
      </w:r>
      <w:r w:rsidR="0001340F">
        <w:t>d</w:t>
      </w:r>
      <w:r w:rsidRPr="00872720">
        <w:t xml:space="preserve"> the demand reduction for each historical event using the same </w:t>
      </w:r>
      <w:r w:rsidR="001B493E" w:rsidRPr="00872720">
        <w:t xml:space="preserve">method employed for the 2012 evaluation </w:t>
      </w:r>
      <w:r w:rsidR="00502446">
        <w:t>–</w:t>
      </w:r>
      <w:r w:rsidR="001B493E" w:rsidRPr="00872720">
        <w:t xml:space="preserve"> </w:t>
      </w:r>
      <w:r w:rsidRPr="00872720">
        <w:t>a differ</w:t>
      </w:r>
      <w:r w:rsidR="001B493E" w:rsidRPr="00872720">
        <w:t xml:space="preserve">ence-in-differences panel regression; </w:t>
      </w:r>
      <w:r w:rsidR="0001340F">
        <w:t>and</w:t>
      </w:r>
    </w:p>
    <w:p w:rsidR="001E3B5B" w:rsidRDefault="00D81164" w:rsidP="00340FC0">
      <w:pPr>
        <w:pStyle w:val="BulletLast"/>
      </w:pPr>
      <w:r w:rsidRPr="00872720">
        <w:t>Compare</w:t>
      </w:r>
      <w:r w:rsidR="0001340F">
        <w:t>d</w:t>
      </w:r>
      <w:r w:rsidRPr="00872720">
        <w:t xml:space="preserve"> the demand reductions estimated for event days in each year, controlling for temperature.</w:t>
      </w:r>
    </w:p>
    <w:p w:rsidR="00D81164" w:rsidRPr="00872720" w:rsidRDefault="001B493E" w:rsidP="00D81164">
      <w:pPr>
        <w:pStyle w:val="BodyParagraph"/>
      </w:pPr>
      <w:r w:rsidRPr="00872720">
        <w:t>The results from the persistence analysis need to be interpreted with caution</w:t>
      </w:r>
      <w:r w:rsidR="00C23005">
        <w:t xml:space="preserve">.  </w:t>
      </w:r>
      <w:r w:rsidR="0003629F" w:rsidRPr="00872720">
        <w:t>They reflect the patterns observed for a subset of customers,</w:t>
      </w:r>
      <w:r w:rsidR="00F8514A">
        <w:t xml:space="preserve"> not those of the entire program.  Not all customers on</w:t>
      </w:r>
      <w:r w:rsidR="0001340F">
        <w:t> </w:t>
      </w:r>
      <w:r w:rsidR="00F8514A">
        <w:t xml:space="preserve">default CPP have a three-year history of CPP participation.  </w:t>
      </w:r>
      <w:r w:rsidR="006722FF">
        <w:t>A</w:t>
      </w:r>
      <w:r w:rsidR="00F8514A">
        <w:t xml:space="preserve">dditional customers </w:t>
      </w:r>
      <w:r w:rsidR="00C23005">
        <w:t xml:space="preserve">are gained </w:t>
      </w:r>
      <w:r w:rsidR="00F8514A">
        <w:t xml:space="preserve">by </w:t>
      </w:r>
      <w:r w:rsidR="0017741E">
        <w:t>restricting</w:t>
      </w:r>
      <w:r w:rsidR="00F8514A">
        <w:t xml:space="preserve"> the analysis to 2011 and 2012, but the subset remains narrow: of the 1,640 PG&amp;E customers on CPP at the end of 2012, </w:t>
      </w:r>
      <w:r w:rsidR="00DF2AB4">
        <w:t xml:space="preserve">1,180 (72%) were </w:t>
      </w:r>
      <w:r w:rsidR="00C23005">
        <w:t>enrolled i</w:t>
      </w:r>
      <w:r w:rsidR="00DF2AB4">
        <w:t>n both 2011 and 2012.  However, not all of those customers could be matched and certain customer segments such as Agriculture (a price-responsive sector for PG&amp;E) particularly lack multi-year participation history.</w:t>
      </w:r>
    </w:p>
    <w:p w:rsidR="00D81164" w:rsidRDefault="00D81164" w:rsidP="00D81164">
      <w:pPr>
        <w:pStyle w:val="TableFigureCaption"/>
      </w:pPr>
      <w:r w:rsidRPr="00872720">
        <w:lastRenderedPageBreak/>
        <w:t xml:space="preserve">Figure </w:t>
      </w:r>
      <w:r w:rsidR="00250D51">
        <w:t>4-4:</w:t>
      </w:r>
      <w:r w:rsidR="0017741E">
        <w:t xml:space="preserve"> </w:t>
      </w:r>
      <w:r w:rsidR="00250D51">
        <w:t xml:space="preserve">PG&amp;E CPP </w:t>
      </w:r>
      <w:r w:rsidRPr="00872720">
        <w:t>Persi</w:t>
      </w:r>
      <w:r w:rsidR="00250D51">
        <w:t>stence 2011</w:t>
      </w:r>
      <w:r w:rsidR="00502446">
        <w:t>–</w:t>
      </w:r>
      <w:r w:rsidR="00250D51">
        <w:t>2012</w:t>
      </w:r>
    </w:p>
    <w:p w:rsidR="0017741E" w:rsidRPr="0017741E" w:rsidRDefault="0017741E" w:rsidP="0017741E">
      <w:pPr>
        <w:pStyle w:val="BodyParaAfterTableFigure"/>
      </w:pPr>
      <w:r>
        <w:rPr>
          <w:noProof/>
        </w:rPr>
        <w:drawing>
          <wp:inline distT="0" distB="0" distL="0" distR="0" wp14:anchorId="20F9752F" wp14:editId="1D115DAC">
            <wp:extent cx="5943600" cy="3239770"/>
            <wp:effectExtent l="0" t="0" r="0" b="0"/>
            <wp:docPr id="18" name="Picture 2" descr="cid:image006.png@01CE1693.E4875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6.png@01CE1693.E4875100"/>
                    <pic:cNvPicPr>
                      <a:picLocks noChangeAspect="1" noChangeArrowheads="1"/>
                    </pic:cNvPicPr>
                  </pic:nvPicPr>
                  <pic:blipFill>
                    <a:blip r:embed="rId32" r:link="rId33" cstate="print"/>
                    <a:srcRect/>
                    <a:stretch>
                      <a:fillRect/>
                    </a:stretch>
                  </pic:blipFill>
                  <pic:spPr bwMode="auto">
                    <a:xfrm>
                      <a:off x="0" y="0"/>
                      <a:ext cx="5943600" cy="3239770"/>
                    </a:xfrm>
                    <a:prstGeom prst="rect">
                      <a:avLst/>
                    </a:prstGeom>
                    <a:noFill/>
                    <a:ln w="9525">
                      <a:noFill/>
                      <a:miter lim="800000"/>
                      <a:headEnd/>
                      <a:tailEnd/>
                    </a:ln>
                  </pic:spPr>
                </pic:pic>
              </a:graphicData>
            </a:graphic>
          </wp:inline>
        </w:drawing>
      </w:r>
    </w:p>
    <w:p w:rsidR="00D81164" w:rsidRPr="00872720" w:rsidRDefault="00E3542B" w:rsidP="00D81164">
      <w:pPr>
        <w:pStyle w:val="BodyParaAfterTableFigure"/>
      </w:pPr>
      <w:r>
        <w:t>Figure 4-4</w:t>
      </w:r>
      <w:r w:rsidR="00A574F0">
        <w:t xml:space="preserve"> </w:t>
      </w:r>
      <w:r w:rsidR="00C23005">
        <w:t>show</w:t>
      </w:r>
      <w:r w:rsidR="00A574F0">
        <w:t xml:space="preserve">s load impacts for </w:t>
      </w:r>
      <w:r w:rsidR="00250D51">
        <w:t xml:space="preserve">customers who experienced all events in 2011 and 2012, </w:t>
      </w:r>
      <w:r w:rsidR="00C23005">
        <w:t xml:space="preserve">using two </w:t>
      </w:r>
      <w:r w:rsidR="00250D51">
        <w:t>analysis methods, difference-in-differences and individual customer regressions, plotted as a function of temperature</w:t>
      </w:r>
      <w:r w:rsidR="0001340F">
        <w:t>.</w:t>
      </w:r>
      <w:r w:rsidR="00B35082">
        <w:rPr>
          <w:rStyle w:val="FootnoteReference"/>
        </w:rPr>
        <w:footnoteReference w:id="20"/>
      </w:r>
      <w:r w:rsidR="00250D51">
        <w:t xml:space="preserve">  Visually, a modest weather trend </w:t>
      </w:r>
      <w:r w:rsidR="00C23005">
        <w:t>is observed</w:t>
      </w:r>
      <w:r w:rsidR="00250D51">
        <w:t xml:space="preserve">, </w:t>
      </w:r>
      <w:r w:rsidR="00C23005">
        <w:t xml:space="preserve">but there is </w:t>
      </w:r>
      <w:r w:rsidR="00250D51">
        <w:t>a good deal of noise ar</w:t>
      </w:r>
      <w:r w:rsidR="0017741E">
        <w:t>ound the average.  A</w:t>
      </w:r>
      <w:r w:rsidR="00250D51">
        <w:t xml:space="preserve"> linear regression controlling for day</w:t>
      </w:r>
      <w:r w:rsidR="00C23005">
        <w:t>-</w:t>
      </w:r>
      <w:r w:rsidR="00250D51">
        <w:t>of</w:t>
      </w:r>
      <w:r w:rsidR="00C23005">
        <w:t>-</w:t>
      </w:r>
      <w:r w:rsidR="00250D51">
        <w:t xml:space="preserve">week and weather effects, </w:t>
      </w:r>
      <w:r w:rsidR="0017741E">
        <w:t xml:space="preserve">however, does not </w:t>
      </w:r>
      <w:r w:rsidR="00C23005">
        <w:t xml:space="preserve">show </w:t>
      </w:r>
      <w:r w:rsidR="00250D51">
        <w:t xml:space="preserve">the weather trend </w:t>
      </w:r>
      <w:r w:rsidR="0017741E">
        <w:t>to be</w:t>
      </w:r>
      <w:r w:rsidR="00250D51">
        <w:t xml:space="preserve"> significant, owing largely to the estimation error and relatively few events to analyze.</w:t>
      </w:r>
      <w:r w:rsidR="0017741E">
        <w:t xml:space="preserve">  </w:t>
      </w:r>
    </w:p>
    <w:p w:rsidR="00DF06D5" w:rsidRDefault="009B22A5" w:rsidP="00930216">
      <w:pPr>
        <w:pStyle w:val="Heading1"/>
      </w:pPr>
      <w:bookmarkStart w:id="98" w:name="_Toc351453932"/>
      <w:bookmarkStart w:id="99" w:name="_Toc351455357"/>
      <w:bookmarkStart w:id="100" w:name="_Toc351462615"/>
      <w:bookmarkStart w:id="101" w:name="_Toc351469398"/>
      <w:bookmarkStart w:id="102" w:name="_Toc351480827"/>
      <w:bookmarkStart w:id="103" w:name="_Toc351453933"/>
      <w:bookmarkStart w:id="104" w:name="_Toc351455358"/>
      <w:bookmarkStart w:id="105" w:name="_Toc351462616"/>
      <w:bookmarkStart w:id="106" w:name="_Toc351469399"/>
      <w:bookmarkStart w:id="107" w:name="_Toc351480828"/>
      <w:bookmarkEnd w:id="98"/>
      <w:bookmarkEnd w:id="99"/>
      <w:bookmarkEnd w:id="100"/>
      <w:bookmarkEnd w:id="101"/>
      <w:bookmarkEnd w:id="102"/>
      <w:bookmarkEnd w:id="103"/>
      <w:bookmarkEnd w:id="104"/>
      <w:bookmarkEnd w:id="105"/>
      <w:bookmarkEnd w:id="106"/>
      <w:bookmarkEnd w:id="107"/>
      <w:r>
        <w:br w:type="column"/>
      </w:r>
      <w:bookmarkStart w:id="108" w:name="_Toc352323637"/>
      <w:r w:rsidR="00DA41F5">
        <w:lastRenderedPageBreak/>
        <w:t>SCE Ex Post Load Impacts</w:t>
      </w:r>
      <w:bookmarkEnd w:id="108"/>
    </w:p>
    <w:p w:rsidR="00DF06D5" w:rsidRPr="00983BD4" w:rsidRDefault="00DF06D5" w:rsidP="00DF06D5">
      <w:pPr>
        <w:pStyle w:val="BodyParagraph"/>
      </w:pPr>
      <w:r>
        <w:t xml:space="preserve">SCE called 12 CPP events in 2012, with the first occurring on June 29 and the last on September 28.  The results presented in this discussion focus on customers defaulted onto CPP rates because they account for nearly all of the program’s load and all of </w:t>
      </w:r>
      <w:r w:rsidR="00F041CD">
        <w:t xml:space="preserve">the </w:t>
      </w:r>
      <w:r>
        <w:t xml:space="preserve">aggregate demand reductions.  </w:t>
      </w:r>
    </w:p>
    <w:p w:rsidR="00DF06D5" w:rsidRDefault="00DF06D5" w:rsidP="00DF06D5">
      <w:pPr>
        <w:pStyle w:val="BodyParagraph"/>
      </w:pPr>
      <w:r>
        <w:t>Table 5-1 shows the estimated ex post load impacts for each event day and for the average event day</w:t>
      </w:r>
      <w:r w:rsidR="00F041CD">
        <w:t> </w:t>
      </w:r>
      <w:r>
        <w:t xml:space="preserve">in 2012.  On average, 2,470 accounts were enrolled on </w:t>
      </w:r>
      <w:r w:rsidR="0021093D">
        <w:t xml:space="preserve">the </w:t>
      </w:r>
      <w:r>
        <w:t xml:space="preserve">default CPP tariff in summer 2012, although there was some </w:t>
      </w:r>
      <w:r w:rsidRPr="00AD6E36">
        <w:t>variation</w:t>
      </w:r>
      <w:r>
        <w:t xml:space="preserve"> in the number of customers enrolled during each event.  This variation reflects normal CPP program churn that occurs throughout the summer period, with some customers departing the program and others enrolling between events.  The participant-weighted average temperature during the peak period on event days ranged from a low of 80</w:t>
      </w:r>
      <w:r w:rsidRPr="00983BD4">
        <w:rPr>
          <w:rFonts w:eastAsia="Times New Roman" w:cs="Arial"/>
          <w:bCs/>
          <w:szCs w:val="20"/>
        </w:rPr>
        <w:t>°F</w:t>
      </w:r>
      <w:r>
        <w:rPr>
          <w:rFonts w:eastAsia="Times New Roman" w:cs="Arial"/>
          <w:bCs/>
          <w:szCs w:val="20"/>
        </w:rPr>
        <w:t xml:space="preserve"> to a high of </w:t>
      </w:r>
      <w:r>
        <w:t>91</w:t>
      </w:r>
      <w:r w:rsidRPr="00983BD4">
        <w:rPr>
          <w:rFonts w:eastAsia="Times New Roman" w:cs="Arial"/>
          <w:bCs/>
          <w:szCs w:val="20"/>
        </w:rPr>
        <w:t>°F</w:t>
      </w:r>
      <w:r>
        <w:rPr>
          <w:rFonts w:eastAsia="Times New Roman" w:cs="Arial"/>
          <w:bCs/>
          <w:szCs w:val="20"/>
        </w:rPr>
        <w:t>.  Daily maximum temperatures were generally higher, ranging from a low of 87</w:t>
      </w:r>
      <w:r w:rsidRPr="00983BD4">
        <w:rPr>
          <w:rFonts w:eastAsia="Times New Roman" w:cs="Arial"/>
          <w:bCs/>
          <w:szCs w:val="20"/>
        </w:rPr>
        <w:t>°F</w:t>
      </w:r>
      <w:r>
        <w:rPr>
          <w:rFonts w:eastAsia="Times New Roman" w:cs="Arial"/>
          <w:bCs/>
          <w:szCs w:val="20"/>
        </w:rPr>
        <w:t xml:space="preserve"> to a high of </w:t>
      </w:r>
      <w:r w:rsidR="0021093D">
        <w:rPr>
          <w:rFonts w:eastAsia="Times New Roman" w:cs="Arial"/>
          <w:bCs/>
          <w:szCs w:val="20"/>
        </w:rPr>
        <w:t xml:space="preserve">almost </w:t>
      </w:r>
      <w:r>
        <w:rPr>
          <w:rFonts w:eastAsia="Times New Roman" w:cs="Arial"/>
          <w:bCs/>
          <w:szCs w:val="20"/>
        </w:rPr>
        <w:t>100</w:t>
      </w:r>
      <w:r w:rsidRPr="00983BD4">
        <w:rPr>
          <w:rFonts w:eastAsia="Times New Roman" w:cs="Arial"/>
          <w:bCs/>
          <w:szCs w:val="20"/>
        </w:rPr>
        <w:t>°F</w:t>
      </w:r>
      <w:r>
        <w:rPr>
          <w:rFonts w:eastAsia="Times New Roman" w:cs="Arial"/>
          <w:bCs/>
          <w:szCs w:val="20"/>
        </w:rPr>
        <w:t xml:space="preserve">. </w:t>
      </w:r>
    </w:p>
    <w:p w:rsidR="00DF06D5" w:rsidRDefault="00DF06D5" w:rsidP="00DF06D5">
      <w:pPr>
        <w:pStyle w:val="TableFigureCaption"/>
      </w:pPr>
      <w:r>
        <w:t>Table 5-1: Estimated Default CPP Ex Post Load Impacts by Event Day</w:t>
      </w:r>
      <w:r>
        <w:br/>
        <w:t>2012 SCE CPP Events (2</w:t>
      </w:r>
      <w:r>
        <w:t>–</w:t>
      </w:r>
      <w:r>
        <w:t>6 PM)</w:t>
      </w:r>
    </w:p>
    <w:tbl>
      <w:tblPr>
        <w:tblW w:w="9583" w:type="dxa"/>
        <w:tblLayout w:type="fixed"/>
        <w:tblLook w:val="04A0" w:firstRow="1" w:lastRow="0" w:firstColumn="1" w:lastColumn="0" w:noHBand="0" w:noVBand="1"/>
      </w:tblPr>
      <w:tblGrid>
        <w:gridCol w:w="959"/>
        <w:gridCol w:w="960"/>
        <w:gridCol w:w="824"/>
        <w:gridCol w:w="1080"/>
        <w:gridCol w:w="1080"/>
        <w:gridCol w:w="848"/>
        <w:gridCol w:w="958"/>
        <w:gridCol w:w="1015"/>
        <w:gridCol w:w="861"/>
        <w:gridCol w:w="998"/>
      </w:tblGrid>
      <w:tr w:rsidR="00930216" w:rsidRPr="008F1E3F" w:rsidTr="00930216">
        <w:trPr>
          <w:trHeight w:val="458"/>
        </w:trPr>
        <w:tc>
          <w:tcPr>
            <w:tcW w:w="959" w:type="dxa"/>
            <w:tcBorders>
              <w:top w:val="single" w:sz="4" w:space="0" w:color="auto"/>
              <w:left w:val="single" w:sz="4" w:space="0" w:color="auto"/>
              <w:bottom w:val="single" w:sz="4" w:space="0" w:color="000000"/>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Event Date</w:t>
            </w:r>
          </w:p>
        </w:tc>
        <w:tc>
          <w:tcPr>
            <w:tcW w:w="960" w:type="dxa"/>
            <w:tcBorders>
              <w:top w:val="single" w:sz="4" w:space="0" w:color="auto"/>
              <w:left w:val="single" w:sz="4" w:space="0" w:color="FFFFFF"/>
              <w:bottom w:val="single" w:sz="4" w:space="0" w:color="000000"/>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Day of Week</w:t>
            </w:r>
          </w:p>
        </w:tc>
        <w:tc>
          <w:tcPr>
            <w:tcW w:w="824" w:type="dxa"/>
            <w:tcBorders>
              <w:top w:val="single" w:sz="4" w:space="0" w:color="auto"/>
              <w:left w:val="single" w:sz="4" w:space="0" w:color="FFFFFF"/>
              <w:bottom w:val="single" w:sz="4" w:space="0" w:color="000000"/>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Accts</w:t>
            </w:r>
          </w:p>
        </w:tc>
        <w:tc>
          <w:tcPr>
            <w:tcW w:w="1080" w:type="dxa"/>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Avg. Customer Reference Load  (kW)</w:t>
            </w:r>
          </w:p>
        </w:tc>
        <w:tc>
          <w:tcPr>
            <w:tcW w:w="1080" w:type="dxa"/>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Avg. Customer Load w/ DR (kW)</w:t>
            </w:r>
          </w:p>
        </w:tc>
        <w:tc>
          <w:tcPr>
            <w:tcW w:w="848" w:type="dxa"/>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Impact (kW)</w:t>
            </w:r>
          </w:p>
        </w:tc>
        <w:tc>
          <w:tcPr>
            <w:tcW w:w="958" w:type="dxa"/>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Aggregate Impact (MW)</w:t>
            </w:r>
          </w:p>
        </w:tc>
        <w:tc>
          <w:tcPr>
            <w:tcW w:w="1015" w:type="dxa"/>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Reduction %</w:t>
            </w:r>
          </w:p>
        </w:tc>
        <w:tc>
          <w:tcPr>
            <w:tcW w:w="861" w:type="dxa"/>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Event Period Temp. °F</w:t>
            </w:r>
          </w:p>
        </w:tc>
        <w:tc>
          <w:tcPr>
            <w:tcW w:w="998" w:type="dxa"/>
            <w:tcBorders>
              <w:top w:val="single" w:sz="4" w:space="0" w:color="auto"/>
              <w:left w:val="nil"/>
              <w:bottom w:val="single" w:sz="4" w:space="0" w:color="auto"/>
              <w:right w:val="single" w:sz="4" w:space="0" w:color="auto"/>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Daily Maximum Temp. °F</w:t>
            </w:r>
          </w:p>
        </w:tc>
      </w:tr>
      <w:tr w:rsidR="00DF06D5" w:rsidRPr="008F1E3F" w:rsidTr="00930216">
        <w:trPr>
          <w:trHeight w:val="360"/>
        </w:trPr>
        <w:tc>
          <w:tcPr>
            <w:tcW w:w="95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6/29/2012</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Mon</w:t>
            </w:r>
          </w:p>
        </w:tc>
        <w:tc>
          <w:tcPr>
            <w:tcW w:w="82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2,464</w:t>
            </w:r>
          </w:p>
        </w:tc>
        <w:tc>
          <w:tcPr>
            <w:tcW w:w="108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194.1</w:t>
            </w:r>
          </w:p>
        </w:tc>
        <w:tc>
          <w:tcPr>
            <w:tcW w:w="108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182.7</w:t>
            </w:r>
          </w:p>
        </w:tc>
        <w:tc>
          <w:tcPr>
            <w:tcW w:w="848"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11.4</w:t>
            </w:r>
          </w:p>
        </w:tc>
        <w:tc>
          <w:tcPr>
            <w:tcW w:w="958"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28.2</w:t>
            </w:r>
          </w:p>
        </w:tc>
        <w:tc>
          <w:tcPr>
            <w:tcW w:w="1015"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5.9%</w:t>
            </w:r>
          </w:p>
        </w:tc>
        <w:tc>
          <w:tcPr>
            <w:tcW w:w="861"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82.5</w:t>
            </w:r>
          </w:p>
        </w:tc>
        <w:tc>
          <w:tcPr>
            <w:tcW w:w="998"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86.7</w:t>
            </w:r>
          </w:p>
        </w:tc>
      </w:tr>
      <w:tr w:rsidR="00DF06D5" w:rsidRPr="008F1E3F" w:rsidTr="00850108">
        <w:trPr>
          <w:trHeight w:val="360"/>
        </w:trPr>
        <w:tc>
          <w:tcPr>
            <w:tcW w:w="95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7/12/2012</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Tue</w:t>
            </w:r>
          </w:p>
        </w:tc>
        <w:tc>
          <w:tcPr>
            <w:tcW w:w="82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2,458</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213.0</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194.5</w:t>
            </w:r>
          </w:p>
        </w:tc>
        <w:tc>
          <w:tcPr>
            <w:tcW w:w="84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18.5</w:t>
            </w:r>
          </w:p>
        </w:tc>
        <w:tc>
          <w:tcPr>
            <w:tcW w:w="95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45.6</w:t>
            </w:r>
          </w:p>
        </w:tc>
        <w:tc>
          <w:tcPr>
            <w:tcW w:w="10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8.7%</w:t>
            </w:r>
          </w:p>
        </w:tc>
        <w:tc>
          <w:tcPr>
            <w:tcW w:w="86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80.3</w:t>
            </w:r>
          </w:p>
        </w:tc>
        <w:tc>
          <w:tcPr>
            <w:tcW w:w="99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90.9</w:t>
            </w:r>
          </w:p>
        </w:tc>
      </w:tr>
      <w:tr w:rsidR="00DF06D5" w:rsidRPr="008F1E3F" w:rsidTr="00850108">
        <w:trPr>
          <w:trHeight w:val="360"/>
        </w:trPr>
        <w:tc>
          <w:tcPr>
            <w:tcW w:w="95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7/23/2012</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Wed</w:t>
            </w:r>
          </w:p>
        </w:tc>
        <w:tc>
          <w:tcPr>
            <w:tcW w:w="82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2,456</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207.0</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193.5</w:t>
            </w:r>
          </w:p>
        </w:tc>
        <w:tc>
          <w:tcPr>
            <w:tcW w:w="84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13.6</w:t>
            </w:r>
          </w:p>
        </w:tc>
        <w:tc>
          <w:tcPr>
            <w:tcW w:w="95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33.3</w:t>
            </w:r>
          </w:p>
        </w:tc>
        <w:tc>
          <w:tcPr>
            <w:tcW w:w="10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6.5%</w:t>
            </w:r>
          </w:p>
        </w:tc>
        <w:tc>
          <w:tcPr>
            <w:tcW w:w="86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80.3</w:t>
            </w:r>
          </w:p>
        </w:tc>
        <w:tc>
          <w:tcPr>
            <w:tcW w:w="99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90.6</w:t>
            </w:r>
          </w:p>
        </w:tc>
      </w:tr>
      <w:tr w:rsidR="00DF06D5" w:rsidRPr="008F1E3F" w:rsidTr="00850108">
        <w:trPr>
          <w:trHeight w:val="360"/>
        </w:trPr>
        <w:tc>
          <w:tcPr>
            <w:tcW w:w="95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8/7/2012</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Thu</w:t>
            </w:r>
          </w:p>
        </w:tc>
        <w:tc>
          <w:tcPr>
            <w:tcW w:w="82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2,473</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227.8</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210.7</w:t>
            </w:r>
          </w:p>
        </w:tc>
        <w:tc>
          <w:tcPr>
            <w:tcW w:w="84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17.0</w:t>
            </w:r>
          </w:p>
        </w:tc>
        <w:tc>
          <w:tcPr>
            <w:tcW w:w="95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42.1</w:t>
            </w:r>
          </w:p>
        </w:tc>
        <w:tc>
          <w:tcPr>
            <w:tcW w:w="10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7.5%</w:t>
            </w:r>
          </w:p>
        </w:tc>
        <w:tc>
          <w:tcPr>
            <w:tcW w:w="86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89.9</w:t>
            </w:r>
          </w:p>
        </w:tc>
        <w:tc>
          <w:tcPr>
            <w:tcW w:w="99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96.5</w:t>
            </w:r>
          </w:p>
        </w:tc>
      </w:tr>
      <w:tr w:rsidR="00DF06D5" w:rsidRPr="008F1E3F" w:rsidTr="00850108">
        <w:trPr>
          <w:trHeight w:val="360"/>
        </w:trPr>
        <w:tc>
          <w:tcPr>
            <w:tcW w:w="95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8/9/2012</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Thu</w:t>
            </w:r>
          </w:p>
        </w:tc>
        <w:tc>
          <w:tcPr>
            <w:tcW w:w="82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2,474</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228.8</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213.6</w:t>
            </w:r>
          </w:p>
        </w:tc>
        <w:tc>
          <w:tcPr>
            <w:tcW w:w="84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15.2</w:t>
            </w:r>
          </w:p>
        </w:tc>
        <w:tc>
          <w:tcPr>
            <w:tcW w:w="95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37.7</w:t>
            </w:r>
          </w:p>
        </w:tc>
        <w:tc>
          <w:tcPr>
            <w:tcW w:w="10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6.7%</w:t>
            </w:r>
          </w:p>
        </w:tc>
        <w:tc>
          <w:tcPr>
            <w:tcW w:w="86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90.5</w:t>
            </w:r>
          </w:p>
        </w:tc>
        <w:tc>
          <w:tcPr>
            <w:tcW w:w="99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97.5</w:t>
            </w:r>
          </w:p>
        </w:tc>
      </w:tr>
      <w:tr w:rsidR="00DF06D5" w:rsidRPr="008F1E3F" w:rsidTr="00850108">
        <w:trPr>
          <w:trHeight w:val="360"/>
        </w:trPr>
        <w:tc>
          <w:tcPr>
            <w:tcW w:w="95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8/13/2012</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Wed</w:t>
            </w:r>
          </w:p>
        </w:tc>
        <w:tc>
          <w:tcPr>
            <w:tcW w:w="82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2,469</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232.7</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218.2</w:t>
            </w:r>
          </w:p>
        </w:tc>
        <w:tc>
          <w:tcPr>
            <w:tcW w:w="84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14.5</w:t>
            </w:r>
          </w:p>
        </w:tc>
        <w:tc>
          <w:tcPr>
            <w:tcW w:w="95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35.8</w:t>
            </w:r>
          </w:p>
        </w:tc>
        <w:tc>
          <w:tcPr>
            <w:tcW w:w="10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6.2%</w:t>
            </w:r>
          </w:p>
        </w:tc>
        <w:tc>
          <w:tcPr>
            <w:tcW w:w="86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90.9</w:t>
            </w:r>
          </w:p>
        </w:tc>
        <w:tc>
          <w:tcPr>
            <w:tcW w:w="99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99.5</w:t>
            </w:r>
          </w:p>
        </w:tc>
      </w:tr>
      <w:tr w:rsidR="00DF06D5" w:rsidRPr="008F1E3F" w:rsidTr="00850108">
        <w:trPr>
          <w:trHeight w:val="360"/>
        </w:trPr>
        <w:tc>
          <w:tcPr>
            <w:tcW w:w="95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8/20/2012</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Thu</w:t>
            </w:r>
          </w:p>
        </w:tc>
        <w:tc>
          <w:tcPr>
            <w:tcW w:w="82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2,475</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230.1</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216.4</w:t>
            </w:r>
          </w:p>
        </w:tc>
        <w:tc>
          <w:tcPr>
            <w:tcW w:w="84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13.7</w:t>
            </w:r>
          </w:p>
        </w:tc>
        <w:tc>
          <w:tcPr>
            <w:tcW w:w="95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33.9</w:t>
            </w:r>
          </w:p>
        </w:tc>
        <w:tc>
          <w:tcPr>
            <w:tcW w:w="10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6.0%</w:t>
            </w:r>
          </w:p>
        </w:tc>
        <w:tc>
          <w:tcPr>
            <w:tcW w:w="86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87.3</w:t>
            </w:r>
          </w:p>
        </w:tc>
        <w:tc>
          <w:tcPr>
            <w:tcW w:w="99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93.0</w:t>
            </w:r>
          </w:p>
        </w:tc>
      </w:tr>
      <w:tr w:rsidR="00DF06D5" w:rsidRPr="008F1E3F" w:rsidTr="00850108">
        <w:trPr>
          <w:trHeight w:val="360"/>
        </w:trPr>
        <w:tc>
          <w:tcPr>
            <w:tcW w:w="95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8/27/2012</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Fri</w:t>
            </w:r>
          </w:p>
        </w:tc>
        <w:tc>
          <w:tcPr>
            <w:tcW w:w="82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2,476</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218.8</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208.1</w:t>
            </w:r>
          </w:p>
        </w:tc>
        <w:tc>
          <w:tcPr>
            <w:tcW w:w="84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10.7</w:t>
            </w:r>
          </w:p>
        </w:tc>
        <w:tc>
          <w:tcPr>
            <w:tcW w:w="95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26.5</w:t>
            </w:r>
          </w:p>
        </w:tc>
        <w:tc>
          <w:tcPr>
            <w:tcW w:w="10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4.9%</w:t>
            </w:r>
          </w:p>
        </w:tc>
        <w:tc>
          <w:tcPr>
            <w:tcW w:w="86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89.4</w:t>
            </w:r>
          </w:p>
        </w:tc>
        <w:tc>
          <w:tcPr>
            <w:tcW w:w="99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93.0</w:t>
            </w:r>
          </w:p>
        </w:tc>
      </w:tr>
      <w:tr w:rsidR="00DF06D5" w:rsidRPr="008F1E3F" w:rsidTr="00850108">
        <w:trPr>
          <w:trHeight w:val="360"/>
        </w:trPr>
        <w:tc>
          <w:tcPr>
            <w:tcW w:w="95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8/29/2012</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Mon</w:t>
            </w:r>
          </w:p>
        </w:tc>
        <w:tc>
          <w:tcPr>
            <w:tcW w:w="82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2,477</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238.1</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225.3</w:t>
            </w:r>
          </w:p>
        </w:tc>
        <w:tc>
          <w:tcPr>
            <w:tcW w:w="84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12.7</w:t>
            </w:r>
          </w:p>
        </w:tc>
        <w:tc>
          <w:tcPr>
            <w:tcW w:w="95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31.6</w:t>
            </w:r>
          </w:p>
        </w:tc>
        <w:tc>
          <w:tcPr>
            <w:tcW w:w="10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5.4%</w:t>
            </w:r>
          </w:p>
        </w:tc>
        <w:tc>
          <w:tcPr>
            <w:tcW w:w="86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89.2</w:t>
            </w:r>
          </w:p>
        </w:tc>
        <w:tc>
          <w:tcPr>
            <w:tcW w:w="99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94.0</w:t>
            </w:r>
          </w:p>
        </w:tc>
      </w:tr>
      <w:tr w:rsidR="00DF06D5" w:rsidRPr="008F1E3F" w:rsidTr="00850108">
        <w:trPr>
          <w:trHeight w:val="360"/>
        </w:trPr>
        <w:tc>
          <w:tcPr>
            <w:tcW w:w="95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9/10/2012</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Mon</w:t>
            </w:r>
          </w:p>
        </w:tc>
        <w:tc>
          <w:tcPr>
            <w:tcW w:w="82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2,468</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231.5</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220.1</w:t>
            </w:r>
          </w:p>
        </w:tc>
        <w:tc>
          <w:tcPr>
            <w:tcW w:w="84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11.4</w:t>
            </w:r>
          </w:p>
        </w:tc>
        <w:tc>
          <w:tcPr>
            <w:tcW w:w="95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28.1</w:t>
            </w:r>
          </w:p>
        </w:tc>
        <w:tc>
          <w:tcPr>
            <w:tcW w:w="10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4.9%</w:t>
            </w:r>
          </w:p>
        </w:tc>
        <w:tc>
          <w:tcPr>
            <w:tcW w:w="86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84.4</w:t>
            </w:r>
          </w:p>
        </w:tc>
        <w:tc>
          <w:tcPr>
            <w:tcW w:w="99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88.6</w:t>
            </w:r>
          </w:p>
        </w:tc>
      </w:tr>
      <w:tr w:rsidR="00DF06D5" w:rsidRPr="008F1E3F" w:rsidTr="00850108">
        <w:trPr>
          <w:trHeight w:val="360"/>
        </w:trPr>
        <w:tc>
          <w:tcPr>
            <w:tcW w:w="95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9/20/2012</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Thu</w:t>
            </w:r>
          </w:p>
        </w:tc>
        <w:tc>
          <w:tcPr>
            <w:tcW w:w="82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2,474</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232.0</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220.9</w:t>
            </w:r>
          </w:p>
        </w:tc>
        <w:tc>
          <w:tcPr>
            <w:tcW w:w="84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11.2</w:t>
            </w:r>
          </w:p>
        </w:tc>
        <w:tc>
          <w:tcPr>
            <w:tcW w:w="95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27.7</w:t>
            </w:r>
          </w:p>
        </w:tc>
        <w:tc>
          <w:tcPr>
            <w:tcW w:w="10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4.8%</w:t>
            </w:r>
          </w:p>
        </w:tc>
        <w:tc>
          <w:tcPr>
            <w:tcW w:w="86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89.0</w:t>
            </w:r>
          </w:p>
        </w:tc>
        <w:tc>
          <w:tcPr>
            <w:tcW w:w="99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93.4</w:t>
            </w:r>
          </w:p>
        </w:tc>
      </w:tr>
      <w:tr w:rsidR="00DF06D5" w:rsidRPr="008F1E3F" w:rsidTr="00850108">
        <w:trPr>
          <w:trHeight w:val="360"/>
        </w:trPr>
        <w:tc>
          <w:tcPr>
            <w:tcW w:w="959"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9/28/2012</w:t>
            </w:r>
          </w:p>
        </w:tc>
        <w:tc>
          <w:tcPr>
            <w:tcW w:w="96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Fri</w:t>
            </w:r>
          </w:p>
        </w:tc>
        <w:tc>
          <w:tcPr>
            <w:tcW w:w="82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2,474</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208.2</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199.0</w:t>
            </w:r>
          </w:p>
        </w:tc>
        <w:tc>
          <w:tcPr>
            <w:tcW w:w="84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9.1</w:t>
            </w:r>
          </w:p>
        </w:tc>
        <w:tc>
          <w:tcPr>
            <w:tcW w:w="95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22.6</w:t>
            </w:r>
          </w:p>
        </w:tc>
        <w:tc>
          <w:tcPr>
            <w:tcW w:w="10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4.4%</w:t>
            </w:r>
          </w:p>
        </w:tc>
        <w:tc>
          <w:tcPr>
            <w:tcW w:w="86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84.3</w:t>
            </w:r>
          </w:p>
        </w:tc>
        <w:tc>
          <w:tcPr>
            <w:tcW w:w="99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90.3</w:t>
            </w:r>
          </w:p>
        </w:tc>
      </w:tr>
      <w:tr w:rsidR="00DF06D5" w:rsidRPr="008F1E3F" w:rsidTr="00850108">
        <w:trPr>
          <w:trHeight w:val="360"/>
        </w:trPr>
        <w:tc>
          <w:tcPr>
            <w:tcW w:w="1919" w:type="dxa"/>
            <w:gridSpan w:val="2"/>
            <w:tcBorders>
              <w:top w:val="single" w:sz="4" w:space="0" w:color="auto"/>
              <w:left w:val="single" w:sz="4" w:space="0" w:color="auto"/>
              <w:bottom w:val="single" w:sz="4" w:space="0" w:color="auto"/>
              <w:right w:val="single" w:sz="4" w:space="0" w:color="000000"/>
            </w:tcBorders>
            <w:shd w:val="clear" w:color="auto" w:fill="auto"/>
            <w:noWrap/>
            <w:tcMar>
              <w:left w:w="43" w:type="dxa"/>
              <w:right w:w="43" w:type="dxa"/>
            </w:tcMar>
            <w:vAlign w:val="center"/>
            <w:hideMark/>
          </w:tcPr>
          <w:p w:rsidR="00DF06D5" w:rsidRPr="00930216" w:rsidRDefault="00DF06D5" w:rsidP="00930216">
            <w:pPr>
              <w:pStyle w:val="TableText"/>
              <w:rPr>
                <w:b/>
                <w:bCs/>
                <w:sz w:val="16"/>
                <w:szCs w:val="16"/>
              </w:rPr>
            </w:pPr>
            <w:r w:rsidRPr="00930216">
              <w:rPr>
                <w:b/>
                <w:bCs/>
                <w:sz w:val="16"/>
                <w:szCs w:val="16"/>
              </w:rPr>
              <w:t>Avg. Event</w:t>
            </w:r>
          </w:p>
        </w:tc>
        <w:tc>
          <w:tcPr>
            <w:tcW w:w="824"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b/>
                <w:bCs/>
                <w:sz w:val="16"/>
                <w:szCs w:val="16"/>
              </w:rPr>
            </w:pPr>
            <w:r w:rsidRPr="00930216">
              <w:rPr>
                <w:b/>
                <w:bCs/>
                <w:sz w:val="16"/>
                <w:szCs w:val="16"/>
              </w:rPr>
              <w:t>2,470</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b/>
                <w:bCs/>
                <w:sz w:val="16"/>
                <w:szCs w:val="16"/>
              </w:rPr>
            </w:pPr>
            <w:r w:rsidRPr="00930216">
              <w:rPr>
                <w:b/>
                <w:bCs/>
                <w:sz w:val="16"/>
                <w:szCs w:val="16"/>
              </w:rPr>
              <w:t>221.9</w:t>
            </w:r>
          </w:p>
        </w:tc>
        <w:tc>
          <w:tcPr>
            <w:tcW w:w="108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b/>
                <w:bCs/>
                <w:sz w:val="16"/>
                <w:szCs w:val="16"/>
              </w:rPr>
            </w:pPr>
            <w:r w:rsidRPr="00930216">
              <w:rPr>
                <w:b/>
                <w:bCs/>
                <w:sz w:val="16"/>
                <w:szCs w:val="16"/>
              </w:rPr>
              <w:t>208.6</w:t>
            </w:r>
          </w:p>
        </w:tc>
        <w:tc>
          <w:tcPr>
            <w:tcW w:w="84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b/>
                <w:bCs/>
                <w:sz w:val="16"/>
                <w:szCs w:val="16"/>
              </w:rPr>
            </w:pPr>
            <w:r w:rsidRPr="00930216">
              <w:rPr>
                <w:b/>
                <w:bCs/>
                <w:sz w:val="16"/>
                <w:szCs w:val="16"/>
              </w:rPr>
              <w:t>13.3</w:t>
            </w:r>
          </w:p>
        </w:tc>
        <w:tc>
          <w:tcPr>
            <w:tcW w:w="95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b/>
                <w:bCs/>
                <w:sz w:val="16"/>
                <w:szCs w:val="16"/>
              </w:rPr>
            </w:pPr>
            <w:r w:rsidRPr="00930216">
              <w:rPr>
                <w:b/>
                <w:bCs/>
                <w:sz w:val="16"/>
                <w:szCs w:val="16"/>
              </w:rPr>
              <w:t>32.9</w:t>
            </w:r>
          </w:p>
        </w:tc>
        <w:tc>
          <w:tcPr>
            <w:tcW w:w="1015"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b/>
                <w:bCs/>
                <w:sz w:val="16"/>
                <w:szCs w:val="16"/>
              </w:rPr>
            </w:pPr>
            <w:r w:rsidRPr="00930216">
              <w:rPr>
                <w:b/>
                <w:bCs/>
                <w:sz w:val="16"/>
                <w:szCs w:val="16"/>
              </w:rPr>
              <w:t>6.0%</w:t>
            </w:r>
          </w:p>
        </w:tc>
        <w:tc>
          <w:tcPr>
            <w:tcW w:w="86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b/>
                <w:bCs/>
                <w:sz w:val="16"/>
                <w:szCs w:val="16"/>
              </w:rPr>
            </w:pPr>
            <w:r w:rsidRPr="00930216">
              <w:rPr>
                <w:b/>
                <w:bCs/>
                <w:sz w:val="16"/>
                <w:szCs w:val="16"/>
              </w:rPr>
              <w:t>87.3</w:t>
            </w:r>
          </w:p>
        </w:tc>
        <w:tc>
          <w:tcPr>
            <w:tcW w:w="99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b/>
                <w:bCs/>
                <w:sz w:val="16"/>
                <w:szCs w:val="16"/>
              </w:rPr>
            </w:pPr>
            <w:r w:rsidRPr="00930216">
              <w:rPr>
                <w:b/>
                <w:bCs/>
                <w:sz w:val="16"/>
                <w:szCs w:val="16"/>
              </w:rPr>
              <w:t>95.8</w:t>
            </w:r>
          </w:p>
        </w:tc>
      </w:tr>
    </w:tbl>
    <w:p w:rsidR="00DF06D5" w:rsidRPr="00FB4EE4" w:rsidRDefault="00DF06D5" w:rsidP="00DF06D5">
      <w:pPr>
        <w:pStyle w:val="BodyParaAfterTableFigure"/>
        <w:rPr>
          <w:color w:val="000000" w:themeColor="text1"/>
        </w:rPr>
      </w:pPr>
      <w:r>
        <w:t>The percent, average and aggregate impacts are similar across events</w:t>
      </w:r>
      <w:r w:rsidR="0021093D">
        <w:t xml:space="preserve"> and are not highly correlated with weather</w:t>
      </w:r>
      <w:r>
        <w:t>.</w:t>
      </w:r>
      <w:r w:rsidR="0021093D">
        <w:t xml:space="preserve">  </w:t>
      </w:r>
      <w:r>
        <w:t>Percent impacts ranged from 4.4% to 8.7%, average customer impacts ranged from 9.1 kW to 18.5 kW and aggregate impacts ranged from 22.6 MW to 43.6 MW.  On the average event day, the average participant reduced peak period load by 5.9% or 13.1 kW.  SCE called an event on the day their system load peaked, August 13, 2012.  CPP participants reduced demand by an estimated 6.2% and delivered 35.8 MW of demand reduction on that day.  In aggregate, SCE’s CPP customers reduced load by 32.9 MW</w:t>
      </w:r>
      <w:r w:rsidR="0021093D">
        <w:t>, or 6.0%,</w:t>
      </w:r>
      <w:r>
        <w:t xml:space="preserve"> on average across the 12 </w:t>
      </w:r>
      <w:r w:rsidRPr="00FB4EE4">
        <w:rPr>
          <w:color w:val="000000" w:themeColor="text1"/>
        </w:rPr>
        <w:t>event days in 2012.</w:t>
      </w:r>
    </w:p>
    <w:p w:rsidR="00DF06D5" w:rsidRPr="00FB4EE4" w:rsidRDefault="00DF06D5" w:rsidP="00DF06D5">
      <w:pPr>
        <w:pStyle w:val="BodyParagraph"/>
        <w:rPr>
          <w:color w:val="000000" w:themeColor="text1"/>
        </w:rPr>
      </w:pPr>
      <w:r w:rsidRPr="00FB4EE4">
        <w:rPr>
          <w:color w:val="000000" w:themeColor="text1"/>
        </w:rPr>
        <w:lastRenderedPageBreak/>
        <w:t>Figure 5-1 s</w:t>
      </w:r>
      <w:r w:rsidR="0021093D">
        <w:rPr>
          <w:color w:val="000000" w:themeColor="text1"/>
        </w:rPr>
        <w:t>hows</w:t>
      </w:r>
      <w:r w:rsidRPr="00FB4EE4">
        <w:rPr>
          <w:color w:val="000000" w:themeColor="text1"/>
        </w:rPr>
        <w:t xml:space="preserve"> the estimated load impacts for 2012 CPP event days and the average event day.  The figure includes both the estimated percent demand reduction (i.e., the point estimate) and the 90% confidence intervals.  The wide confidence bands around the individual event day estimates illustrates the noise inherent in measuring load impacts for individual event days.  In contrast, the average event day load impact estimate is more precise. </w:t>
      </w:r>
      <w:r w:rsidR="00C42F86">
        <w:rPr>
          <w:color w:val="000000" w:themeColor="text1"/>
        </w:rPr>
        <w:t xml:space="preserve"> </w:t>
      </w:r>
      <w:r w:rsidRPr="00FB4EE4">
        <w:rPr>
          <w:color w:val="000000" w:themeColor="text1"/>
        </w:rPr>
        <w:t xml:space="preserve">The individual event day results are less precise because the percent demand reductions are relatively small and harder to detect from the inherent day-to-day variation in loads </w:t>
      </w:r>
      <w:r w:rsidR="00C42F86">
        <w:rPr>
          <w:color w:val="000000" w:themeColor="text1"/>
        </w:rPr>
        <w:t>–</w:t>
      </w:r>
      <w:r w:rsidRPr="00FB4EE4">
        <w:rPr>
          <w:color w:val="000000" w:themeColor="text1"/>
        </w:rPr>
        <w:t xml:space="preserve"> background noise.  A large amount of the event-to-event variation in load impact</w:t>
      </w:r>
      <w:r w:rsidR="0021093D">
        <w:rPr>
          <w:color w:val="000000" w:themeColor="text1"/>
        </w:rPr>
        <w:t>s</w:t>
      </w:r>
      <w:r w:rsidRPr="00FB4EE4">
        <w:rPr>
          <w:color w:val="000000" w:themeColor="text1"/>
        </w:rPr>
        <w:t xml:space="preserve"> is unexplained noise.</w:t>
      </w:r>
      <w:r>
        <w:rPr>
          <w:color w:val="000000" w:themeColor="text1"/>
        </w:rPr>
        <w:t xml:space="preserve">  In fact, </w:t>
      </w:r>
      <w:r w:rsidR="005D51F9">
        <w:rPr>
          <w:color w:val="000000" w:themeColor="text1"/>
        </w:rPr>
        <w:t xml:space="preserve">it is </w:t>
      </w:r>
      <w:r w:rsidR="00040C8D">
        <w:rPr>
          <w:color w:val="000000" w:themeColor="text1"/>
        </w:rPr>
        <w:t>inaccurate to conclude</w:t>
      </w:r>
      <w:r>
        <w:rPr>
          <w:color w:val="000000" w:themeColor="text1"/>
        </w:rPr>
        <w:t xml:space="preserve"> that individual day percent reductions are different than the average event for 11 out of the 12 events.</w:t>
      </w:r>
      <w:r>
        <w:rPr>
          <w:rStyle w:val="FootnoteReference"/>
          <w:color w:val="000000" w:themeColor="text1"/>
        </w:rPr>
        <w:footnoteReference w:id="21"/>
      </w:r>
      <w:r>
        <w:rPr>
          <w:color w:val="000000" w:themeColor="text1"/>
        </w:rPr>
        <w:t xml:space="preserve">   </w:t>
      </w:r>
    </w:p>
    <w:p w:rsidR="00DF06D5" w:rsidRPr="00AE1CBB" w:rsidRDefault="00DF06D5" w:rsidP="00930216">
      <w:pPr>
        <w:pStyle w:val="TableFigureCaption"/>
      </w:pPr>
      <w:r w:rsidRPr="00AE1CBB">
        <w:t>Figure 5-1:</w:t>
      </w:r>
      <w:r>
        <w:t xml:space="preserve"> SC</w:t>
      </w:r>
      <w:r w:rsidRPr="00267644">
        <w:t xml:space="preserve">E Percent Load Impact </w:t>
      </w:r>
      <w:r>
        <w:t xml:space="preserve">with Confidence Bands </w:t>
      </w:r>
      <w:r w:rsidRPr="00267644">
        <w:t>by Event Day</w:t>
      </w:r>
      <w:r>
        <w:t xml:space="preserve"> (2</w:t>
      </w:r>
      <w:r w:rsidR="00C42F86">
        <w:t>–</w:t>
      </w:r>
      <w:r>
        <w:t>6 PM)</w:t>
      </w:r>
    </w:p>
    <w:p w:rsidR="00DF06D5" w:rsidRPr="00AE1CBB" w:rsidRDefault="001E3B5B" w:rsidP="00930216">
      <w:pPr>
        <w:pStyle w:val="BodyParagraph"/>
        <w:jc w:val="center"/>
      </w:pPr>
      <w:r>
        <w:rPr>
          <w:noProof/>
        </w:rPr>
        <w:drawing>
          <wp:inline distT="0" distB="0" distL="0" distR="0" wp14:anchorId="3E4361E8" wp14:editId="3A0FD3A1">
            <wp:extent cx="5943600" cy="2833811"/>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2833811"/>
                    </a:xfrm>
                    <a:prstGeom prst="rect">
                      <a:avLst/>
                    </a:prstGeom>
                    <a:noFill/>
                    <a:ln>
                      <a:noFill/>
                    </a:ln>
                  </pic:spPr>
                </pic:pic>
              </a:graphicData>
            </a:graphic>
          </wp:inline>
        </w:drawing>
      </w:r>
    </w:p>
    <w:p w:rsidR="00DF06D5" w:rsidRPr="00003EA2" w:rsidRDefault="00DF06D5" w:rsidP="00930216">
      <w:pPr>
        <w:pStyle w:val="Heading2"/>
        <w:spacing w:before="360"/>
      </w:pPr>
      <w:bookmarkStart w:id="109" w:name="_Toc326072114"/>
      <w:bookmarkStart w:id="110" w:name="_Toc352323638"/>
      <w:r w:rsidRPr="00930216">
        <w:t>Average</w:t>
      </w:r>
      <w:r>
        <w:t xml:space="preserve"> Event Day Impacts</w:t>
      </w:r>
      <w:bookmarkEnd w:id="109"/>
      <w:bookmarkEnd w:id="110"/>
    </w:p>
    <w:p w:rsidR="00DF06D5" w:rsidRDefault="00DF06D5" w:rsidP="00DF06D5">
      <w:pPr>
        <w:pStyle w:val="BodyParagraph"/>
        <w:sectPr w:rsidR="00DF06D5" w:rsidSect="00C82C6B">
          <w:headerReference w:type="default" r:id="rId35"/>
          <w:pgSz w:w="12240" w:h="15840"/>
          <w:pgMar w:top="1440" w:right="1440" w:bottom="1440" w:left="1440" w:header="720" w:footer="720" w:gutter="0"/>
          <w:cols w:space="720"/>
          <w:docGrid w:linePitch="360"/>
        </w:sectPr>
      </w:pPr>
      <w:r>
        <w:t xml:space="preserve">Figure 5-2 shows the aggregate hourly impact for CPP customers for the average event in 2012.  Percent </w:t>
      </w:r>
      <w:r w:rsidRPr="00AD6E36">
        <w:t>reductions</w:t>
      </w:r>
      <w:r>
        <w:t xml:space="preserve"> were essentially the same in each hour.  Demand reductions varied between 31.1 MW and 34.6 MW, depending on the event hour; however, differences between event hours were not statistically significant.  Figure 5-2 also illustrates the electronic appendices filed in conjunction with this report, which present hourly results, with uncertainty bands for individual event days for the program as </w:t>
      </w:r>
      <w:r w:rsidR="00C42F86">
        <w:t xml:space="preserve">a </w:t>
      </w:r>
      <w:r>
        <w:t>whole and for each of the segments discussed in this report.</w:t>
      </w:r>
    </w:p>
    <w:p w:rsidR="00DF06D5" w:rsidRPr="00930216" w:rsidRDefault="00DF06D5" w:rsidP="00930216">
      <w:pPr>
        <w:pStyle w:val="TableFigureCaption"/>
      </w:pPr>
      <w:r w:rsidRPr="00930216">
        <w:lastRenderedPageBreak/>
        <w:t>Figure 5-2: Estimated Hourly Impacts for the Average 2012 SCE Event Day</w:t>
      </w:r>
    </w:p>
    <w:p w:rsidR="00DF06D5" w:rsidRPr="003559F3" w:rsidRDefault="00DF06D5" w:rsidP="00DF06D5">
      <w:pPr>
        <w:pStyle w:val="TableFigureCaption"/>
      </w:pPr>
      <w:r w:rsidRPr="006E6018">
        <w:br/>
      </w:r>
      <w:r w:rsidRPr="001B70FE">
        <w:rPr>
          <w:noProof/>
        </w:rPr>
        <w:drawing>
          <wp:inline distT="0" distB="0" distL="0" distR="0" wp14:anchorId="0C3692DF" wp14:editId="24AD1E26">
            <wp:extent cx="8229600" cy="4820281"/>
            <wp:effectExtent l="19050" t="0" r="0" b="0"/>
            <wp:docPr id="2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srcRect/>
                    <a:stretch>
                      <a:fillRect/>
                    </a:stretch>
                  </pic:blipFill>
                  <pic:spPr bwMode="auto">
                    <a:xfrm>
                      <a:off x="0" y="0"/>
                      <a:ext cx="8229600" cy="4820281"/>
                    </a:xfrm>
                    <a:prstGeom prst="rect">
                      <a:avLst/>
                    </a:prstGeom>
                    <a:noFill/>
                    <a:ln w="9525">
                      <a:noFill/>
                      <a:miter lim="800000"/>
                      <a:headEnd/>
                      <a:tailEnd/>
                    </a:ln>
                  </pic:spPr>
                </pic:pic>
              </a:graphicData>
            </a:graphic>
          </wp:inline>
        </w:drawing>
      </w:r>
    </w:p>
    <w:p w:rsidR="00DF06D5" w:rsidRDefault="00DF06D5" w:rsidP="00DF06D5">
      <w:pPr>
        <w:pStyle w:val="BodyParagraph"/>
        <w:sectPr w:rsidR="00DF06D5" w:rsidSect="00C82C6B">
          <w:headerReference w:type="default" r:id="rId37"/>
          <w:pgSz w:w="15840" w:h="12240" w:orient="landscape"/>
          <w:pgMar w:top="1440" w:right="1440" w:bottom="1440" w:left="1440" w:header="720" w:footer="720" w:gutter="0"/>
          <w:cols w:space="720"/>
          <w:docGrid w:linePitch="360"/>
        </w:sectPr>
      </w:pPr>
    </w:p>
    <w:p w:rsidR="00726D5E" w:rsidRDefault="00DF06D5">
      <w:pPr>
        <w:pStyle w:val="Heading2"/>
      </w:pPr>
      <w:bookmarkStart w:id="111" w:name="_Toc326072115"/>
      <w:bookmarkStart w:id="112" w:name="_Toc352323639"/>
      <w:r>
        <w:lastRenderedPageBreak/>
        <w:t xml:space="preserve">Load </w:t>
      </w:r>
      <w:r w:rsidRPr="003850B4">
        <w:t>Impacts</w:t>
      </w:r>
      <w:r>
        <w:t xml:space="preserve"> by Industry</w:t>
      </w:r>
      <w:bookmarkEnd w:id="111"/>
      <w:bookmarkEnd w:id="112"/>
    </w:p>
    <w:p w:rsidR="00DF06D5" w:rsidRDefault="00DF06D5" w:rsidP="00DF06D5">
      <w:pPr>
        <w:pStyle w:val="BodyParagraph"/>
      </w:pPr>
      <w:r>
        <w:t xml:space="preserve">Table </w:t>
      </w:r>
      <w:r w:rsidR="001D1B5A">
        <w:t>5</w:t>
      </w:r>
      <w:r>
        <w:t>-2 shows the concentration of accounts, program load</w:t>
      </w:r>
      <w:r w:rsidR="00C42F86">
        <w:t xml:space="preserve"> and </w:t>
      </w:r>
      <w:r>
        <w:t xml:space="preserve">demand reductions across industries.  It also shows the share of demand the average customer within each industry reduced and whether or not the demand reduction was statistically significant with 90% confidence.  The industries are presented in rank order based on the aggregate demand reduction.  Figure 5-3 illustrates similar information visually, but better illustrates the concentration across specific industries.  </w:t>
      </w:r>
    </w:p>
    <w:p w:rsidR="00DF06D5" w:rsidRDefault="00DF06D5" w:rsidP="00DF06D5">
      <w:pPr>
        <w:pStyle w:val="TableFigureCaption"/>
      </w:pPr>
      <w:r>
        <w:t>Table 5-</w:t>
      </w:r>
      <w:r w:rsidR="001D1B5A">
        <w:t>2</w:t>
      </w:r>
      <w:r>
        <w:t xml:space="preserve">: </w:t>
      </w:r>
      <w:r w:rsidR="00057782" w:rsidRPr="00D963CC">
        <w:t>Estimated Ex Post Load Impacts by Industry</w:t>
      </w:r>
      <w:r>
        <w:br/>
      </w:r>
      <w:r w:rsidR="00057782">
        <w:t xml:space="preserve">Average </w:t>
      </w:r>
      <w:r>
        <w:t>2012 CPP Event (2</w:t>
      </w:r>
      <w:r w:rsidR="002F60B8">
        <w:t>–</w:t>
      </w:r>
      <w:r>
        <w:t>6 PM)</w:t>
      </w:r>
    </w:p>
    <w:tbl>
      <w:tblPr>
        <w:tblW w:w="9673" w:type="dxa"/>
        <w:tblLayout w:type="fixed"/>
        <w:tblLook w:val="04A0" w:firstRow="1" w:lastRow="0" w:firstColumn="1" w:lastColumn="0" w:noHBand="0" w:noVBand="1"/>
      </w:tblPr>
      <w:tblGrid>
        <w:gridCol w:w="2563"/>
        <w:gridCol w:w="810"/>
        <w:gridCol w:w="810"/>
        <w:gridCol w:w="990"/>
        <w:gridCol w:w="810"/>
        <w:gridCol w:w="918"/>
        <w:gridCol w:w="792"/>
        <w:gridCol w:w="990"/>
        <w:gridCol w:w="990"/>
      </w:tblGrid>
      <w:tr w:rsidR="00930216" w:rsidRPr="00891514" w:rsidTr="00930216">
        <w:trPr>
          <w:trHeight w:val="683"/>
        </w:trPr>
        <w:tc>
          <w:tcPr>
            <w:tcW w:w="2563" w:type="dxa"/>
            <w:tcBorders>
              <w:top w:val="single" w:sz="4" w:space="0" w:color="auto"/>
              <w:left w:val="single" w:sz="4" w:space="0" w:color="auto"/>
              <w:bottom w:val="single" w:sz="4" w:space="0" w:color="000000"/>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Industry</w:t>
            </w:r>
          </w:p>
        </w:tc>
        <w:tc>
          <w:tcPr>
            <w:tcW w:w="810" w:type="dxa"/>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Accts</w:t>
            </w:r>
          </w:p>
        </w:tc>
        <w:tc>
          <w:tcPr>
            <w:tcW w:w="810" w:type="dxa"/>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 of Program</w:t>
            </w:r>
            <w:r>
              <w:rPr>
                <w:sz w:val="16"/>
                <w:szCs w:val="16"/>
              </w:rPr>
              <w:t xml:space="preserve"> </w:t>
            </w:r>
          </w:p>
        </w:tc>
        <w:tc>
          <w:tcPr>
            <w:tcW w:w="990" w:type="dxa"/>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Aggregate Reference Load</w:t>
            </w:r>
            <w:r>
              <w:rPr>
                <w:sz w:val="16"/>
                <w:szCs w:val="16"/>
              </w:rPr>
              <w:t xml:space="preserve"> </w:t>
            </w:r>
            <w:r w:rsidRPr="00930216">
              <w:rPr>
                <w:sz w:val="16"/>
                <w:szCs w:val="16"/>
              </w:rPr>
              <w:t>(MW)</w:t>
            </w:r>
          </w:p>
        </w:tc>
        <w:tc>
          <w:tcPr>
            <w:tcW w:w="810" w:type="dxa"/>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 of Program</w:t>
            </w:r>
          </w:p>
        </w:tc>
        <w:tc>
          <w:tcPr>
            <w:tcW w:w="918" w:type="dxa"/>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Aggregate Impact</w:t>
            </w:r>
            <w:r>
              <w:rPr>
                <w:sz w:val="16"/>
                <w:szCs w:val="16"/>
              </w:rPr>
              <w:t xml:space="preserve"> </w:t>
            </w:r>
            <w:r w:rsidRPr="00930216">
              <w:rPr>
                <w:sz w:val="16"/>
                <w:szCs w:val="16"/>
              </w:rPr>
              <w:t>(MW)</w:t>
            </w:r>
          </w:p>
        </w:tc>
        <w:tc>
          <w:tcPr>
            <w:tcW w:w="792" w:type="dxa"/>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 of Program</w:t>
            </w:r>
          </w:p>
        </w:tc>
        <w:tc>
          <w:tcPr>
            <w:tcW w:w="990" w:type="dxa"/>
            <w:tcBorders>
              <w:top w:val="single" w:sz="4" w:space="0" w:color="auto"/>
              <w:left w:val="single" w:sz="4" w:space="0" w:color="FFFFFF"/>
              <w:bottom w:val="single" w:sz="4" w:space="0" w:color="auto"/>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 Reduction</w:t>
            </w:r>
          </w:p>
        </w:tc>
        <w:tc>
          <w:tcPr>
            <w:tcW w:w="990" w:type="dxa"/>
            <w:tcBorders>
              <w:top w:val="single" w:sz="4" w:space="0" w:color="auto"/>
              <w:left w:val="single" w:sz="4" w:space="0" w:color="FFFFFF"/>
              <w:bottom w:val="single" w:sz="4" w:space="0" w:color="auto"/>
              <w:right w:val="single" w:sz="4" w:space="0" w:color="auto"/>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Stat. Significant?</w:t>
            </w:r>
          </w:p>
        </w:tc>
      </w:tr>
      <w:tr w:rsidR="00DF06D5" w:rsidRPr="00891514" w:rsidTr="00930216">
        <w:trPr>
          <w:trHeight w:val="360"/>
        </w:trPr>
        <w:tc>
          <w:tcPr>
            <w:tcW w:w="2563"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Manufacturing</w:t>
            </w:r>
          </w:p>
        </w:tc>
        <w:tc>
          <w:tcPr>
            <w:tcW w:w="81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716</w:t>
            </w:r>
          </w:p>
        </w:tc>
        <w:tc>
          <w:tcPr>
            <w:tcW w:w="81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29.0%</w:t>
            </w:r>
          </w:p>
        </w:tc>
        <w:tc>
          <w:tcPr>
            <w:tcW w:w="99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147.8</w:t>
            </w:r>
          </w:p>
        </w:tc>
        <w:tc>
          <w:tcPr>
            <w:tcW w:w="81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26.9%</w:t>
            </w:r>
          </w:p>
        </w:tc>
        <w:tc>
          <w:tcPr>
            <w:tcW w:w="918"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20.4</w:t>
            </w:r>
          </w:p>
        </w:tc>
        <w:tc>
          <w:tcPr>
            <w:tcW w:w="792"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60.3%</w:t>
            </w:r>
          </w:p>
        </w:tc>
        <w:tc>
          <w:tcPr>
            <w:tcW w:w="99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13.8%</w:t>
            </w:r>
          </w:p>
        </w:tc>
        <w:tc>
          <w:tcPr>
            <w:tcW w:w="99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Yes</w:t>
            </w:r>
          </w:p>
        </w:tc>
      </w:tr>
      <w:tr w:rsidR="00DF06D5" w:rsidRPr="00891514" w:rsidTr="00850108">
        <w:trPr>
          <w:trHeight w:val="360"/>
        </w:trPr>
        <w:tc>
          <w:tcPr>
            <w:tcW w:w="2563"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Wholesale</w:t>
            </w:r>
            <w:r w:rsidR="003E29C4">
              <w:rPr>
                <w:sz w:val="16"/>
                <w:szCs w:val="16"/>
              </w:rPr>
              <w:t>,</w:t>
            </w:r>
            <w:r w:rsidRPr="00930216">
              <w:rPr>
                <w:sz w:val="16"/>
                <w:szCs w:val="16"/>
              </w:rPr>
              <w:t xml:space="preserve"> Transport</w:t>
            </w:r>
            <w:r w:rsidR="003E29C4">
              <w:rPr>
                <w:sz w:val="16"/>
                <w:szCs w:val="16"/>
              </w:rPr>
              <w:t xml:space="preserve"> &amp; </w:t>
            </w:r>
            <w:r w:rsidR="003E29C4">
              <w:rPr>
                <w:sz w:val="16"/>
                <w:szCs w:val="16"/>
              </w:rPr>
              <w:br/>
              <w:t>Other Utilities</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399</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16.2%</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95.6</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17.4%</w:t>
            </w:r>
          </w:p>
        </w:tc>
        <w:tc>
          <w:tcPr>
            <w:tcW w:w="91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9.0</w:t>
            </w:r>
          </w:p>
        </w:tc>
        <w:tc>
          <w:tcPr>
            <w:tcW w:w="79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26.6%</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9.4%</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Yes</w:t>
            </w:r>
          </w:p>
        </w:tc>
      </w:tr>
      <w:tr w:rsidR="00DF06D5" w:rsidRPr="00891514" w:rsidTr="00850108">
        <w:trPr>
          <w:trHeight w:val="360"/>
        </w:trPr>
        <w:tc>
          <w:tcPr>
            <w:tcW w:w="2563"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5D51F9" w:rsidRDefault="00DF06D5" w:rsidP="00040C8D">
            <w:pPr>
              <w:pStyle w:val="TableText"/>
              <w:rPr>
                <w:rFonts w:eastAsia="Times New Roman" w:cs="Times New Roman"/>
                <w:b/>
                <w:color w:val="403152" w:themeColor="accent4" w:themeShade="80"/>
                <w:sz w:val="16"/>
                <w:szCs w:val="16"/>
              </w:rPr>
            </w:pPr>
            <w:r w:rsidRPr="00930216">
              <w:rPr>
                <w:sz w:val="16"/>
                <w:szCs w:val="16"/>
              </w:rPr>
              <w:t>Offices, Hotels</w:t>
            </w:r>
            <w:r w:rsidR="003E29C4">
              <w:rPr>
                <w:sz w:val="16"/>
                <w:szCs w:val="16"/>
              </w:rPr>
              <w:t>,</w:t>
            </w:r>
            <w:r w:rsidRPr="00930216">
              <w:rPr>
                <w:sz w:val="16"/>
                <w:szCs w:val="16"/>
              </w:rPr>
              <w:t xml:space="preserve"> Finance</w:t>
            </w:r>
            <w:r w:rsidR="003E29C4">
              <w:rPr>
                <w:sz w:val="16"/>
                <w:szCs w:val="16"/>
              </w:rPr>
              <w:t xml:space="preserve"> &amp; Services</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509</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20.6%</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122.4</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22.3%</w:t>
            </w:r>
          </w:p>
        </w:tc>
        <w:tc>
          <w:tcPr>
            <w:tcW w:w="91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2.2</w:t>
            </w:r>
          </w:p>
        </w:tc>
        <w:tc>
          <w:tcPr>
            <w:tcW w:w="79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6.5%</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1.8%</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Yes</w:t>
            </w:r>
          </w:p>
        </w:tc>
      </w:tr>
      <w:tr w:rsidR="00DF06D5" w:rsidRPr="00891514" w:rsidTr="00850108">
        <w:trPr>
          <w:trHeight w:val="360"/>
        </w:trPr>
        <w:tc>
          <w:tcPr>
            <w:tcW w:w="2563"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Retail Stores</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172</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7.0%</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39.7</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7.2%</w:t>
            </w:r>
          </w:p>
        </w:tc>
        <w:tc>
          <w:tcPr>
            <w:tcW w:w="91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1.1</w:t>
            </w:r>
          </w:p>
        </w:tc>
        <w:tc>
          <w:tcPr>
            <w:tcW w:w="79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3.2%</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2.7%</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Yes</w:t>
            </w:r>
          </w:p>
        </w:tc>
      </w:tr>
      <w:tr w:rsidR="00DF06D5" w:rsidRPr="00891514" w:rsidTr="00850108">
        <w:trPr>
          <w:trHeight w:val="360"/>
        </w:trPr>
        <w:tc>
          <w:tcPr>
            <w:tcW w:w="2563"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Ag</w:t>
            </w:r>
            <w:r w:rsidR="003E29C4">
              <w:rPr>
                <w:sz w:val="16"/>
                <w:szCs w:val="16"/>
              </w:rPr>
              <w:t>riculture</w:t>
            </w:r>
            <w:r w:rsidRPr="00930216">
              <w:rPr>
                <w:sz w:val="16"/>
                <w:szCs w:val="16"/>
              </w:rPr>
              <w:t>, Mining &amp; Construction</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87</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3.5%</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13.5</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2.5%</w:t>
            </w:r>
          </w:p>
        </w:tc>
        <w:tc>
          <w:tcPr>
            <w:tcW w:w="91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0.5</w:t>
            </w:r>
          </w:p>
        </w:tc>
        <w:tc>
          <w:tcPr>
            <w:tcW w:w="79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1.6%</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4.0%</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No</w:t>
            </w:r>
          </w:p>
        </w:tc>
      </w:tr>
      <w:tr w:rsidR="00DF06D5" w:rsidRPr="00891514" w:rsidTr="00850108">
        <w:trPr>
          <w:trHeight w:val="360"/>
        </w:trPr>
        <w:tc>
          <w:tcPr>
            <w:tcW w:w="2563"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Institutional/Government</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217</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8.8%</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53.7</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9.8%</w:t>
            </w:r>
          </w:p>
        </w:tc>
        <w:tc>
          <w:tcPr>
            <w:tcW w:w="91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0.4</w:t>
            </w:r>
          </w:p>
        </w:tc>
        <w:tc>
          <w:tcPr>
            <w:tcW w:w="79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1.3%</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0.8%</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No</w:t>
            </w:r>
          </w:p>
        </w:tc>
      </w:tr>
      <w:tr w:rsidR="00DF06D5" w:rsidRPr="00891514" w:rsidTr="00850108">
        <w:trPr>
          <w:trHeight w:val="360"/>
        </w:trPr>
        <w:tc>
          <w:tcPr>
            <w:tcW w:w="2563"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Schools</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369</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14.9%</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76.1</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13.9%</w:t>
            </w:r>
          </w:p>
        </w:tc>
        <w:tc>
          <w:tcPr>
            <w:tcW w:w="91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0.2</w:t>
            </w:r>
          </w:p>
        </w:tc>
        <w:tc>
          <w:tcPr>
            <w:tcW w:w="79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0.5%</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0.2%</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No</w:t>
            </w:r>
          </w:p>
        </w:tc>
      </w:tr>
      <w:tr w:rsidR="00DF06D5" w:rsidRPr="00891514" w:rsidTr="00850108">
        <w:trPr>
          <w:trHeight w:val="360"/>
        </w:trPr>
        <w:tc>
          <w:tcPr>
            <w:tcW w:w="2563" w:type="dxa"/>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Other or Unknown</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2</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0.1%</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0.0</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0.0%</w:t>
            </w:r>
          </w:p>
        </w:tc>
        <w:tc>
          <w:tcPr>
            <w:tcW w:w="918"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0.0</w:t>
            </w:r>
          </w:p>
        </w:tc>
        <w:tc>
          <w:tcPr>
            <w:tcW w:w="792"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0.0%</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0.0%</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930216" w:rsidRDefault="00DF06D5" w:rsidP="00930216">
            <w:pPr>
              <w:pStyle w:val="TableText"/>
              <w:rPr>
                <w:sz w:val="16"/>
                <w:szCs w:val="16"/>
              </w:rPr>
            </w:pPr>
            <w:r w:rsidRPr="00930216">
              <w:rPr>
                <w:sz w:val="16"/>
                <w:szCs w:val="16"/>
              </w:rPr>
              <w:t>No</w:t>
            </w:r>
          </w:p>
        </w:tc>
      </w:tr>
    </w:tbl>
    <w:p w:rsidR="00DF06D5" w:rsidRPr="00930216" w:rsidRDefault="00DF06D5" w:rsidP="00930216">
      <w:pPr>
        <w:pStyle w:val="TableFigureCaption"/>
        <w:spacing w:before="360"/>
      </w:pPr>
      <w:r w:rsidRPr="00930216">
        <w:t>Figure 5-</w:t>
      </w:r>
      <w:r w:rsidR="001D1B5A">
        <w:t>3</w:t>
      </w:r>
      <w:r w:rsidRPr="00930216">
        <w:t>: Estimated Ex Post Load Impacts by Industry</w:t>
      </w:r>
      <w:r w:rsidRPr="00930216">
        <w:br/>
        <w:t>Average 2012 SCE CPP Event (2</w:t>
      </w:r>
      <w:r w:rsidR="00C42F86">
        <w:t>–</w:t>
      </w:r>
      <w:r w:rsidRPr="00930216">
        <w:t>6 PM)</w:t>
      </w:r>
    </w:p>
    <w:p w:rsidR="00DF06D5" w:rsidRDefault="00DF06D5" w:rsidP="00DF06D5">
      <w:pPr>
        <w:pStyle w:val="BodyParagraph"/>
        <w:jc w:val="center"/>
        <w:rPr>
          <w:noProof/>
        </w:rPr>
      </w:pPr>
      <w:r w:rsidRPr="00F004EC">
        <w:rPr>
          <w:noProof/>
        </w:rPr>
        <w:drawing>
          <wp:inline distT="0" distB="0" distL="0" distR="0" wp14:anchorId="206A66EE" wp14:editId="2CFB8B1C">
            <wp:extent cx="5432343" cy="3143766"/>
            <wp:effectExtent l="19050" t="0" r="0" b="0"/>
            <wp:docPr id="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srcRect/>
                    <a:stretch>
                      <a:fillRect/>
                    </a:stretch>
                  </pic:blipFill>
                  <pic:spPr bwMode="auto">
                    <a:xfrm>
                      <a:off x="0" y="0"/>
                      <a:ext cx="5431292" cy="3143158"/>
                    </a:xfrm>
                    <a:prstGeom prst="rect">
                      <a:avLst/>
                    </a:prstGeom>
                    <a:noFill/>
                    <a:ln w="9525">
                      <a:noFill/>
                      <a:miter lim="800000"/>
                      <a:headEnd/>
                      <a:tailEnd/>
                    </a:ln>
                  </pic:spPr>
                </pic:pic>
              </a:graphicData>
            </a:graphic>
          </wp:inline>
        </w:drawing>
      </w:r>
    </w:p>
    <w:p w:rsidR="00DF06D5" w:rsidRPr="00C42F86" w:rsidRDefault="00DF06D5" w:rsidP="00930216">
      <w:pPr>
        <w:pStyle w:val="BodyParaAfterTableFigure"/>
      </w:pPr>
      <w:r w:rsidRPr="00C42F86">
        <w:lastRenderedPageBreak/>
        <w:t xml:space="preserve">The estimated load impacts for the first four industries presented in Table 4-2 are statistically significant.  Except for </w:t>
      </w:r>
      <w:r w:rsidR="005D51F9">
        <w:t>A</w:t>
      </w:r>
      <w:r w:rsidR="00230675" w:rsidRPr="00230675">
        <w:t xml:space="preserve">griculture, </w:t>
      </w:r>
      <w:r w:rsidR="005D51F9">
        <w:t>M</w:t>
      </w:r>
      <w:r w:rsidR="00230675" w:rsidRPr="00230675">
        <w:t xml:space="preserve">ining </w:t>
      </w:r>
      <w:r w:rsidR="005D51F9">
        <w:t>&amp;</w:t>
      </w:r>
      <w:r w:rsidR="00F50280" w:rsidRPr="00230675">
        <w:t xml:space="preserve"> </w:t>
      </w:r>
      <w:r w:rsidR="005D51F9">
        <w:t>C</w:t>
      </w:r>
      <w:r w:rsidR="00230675" w:rsidRPr="00230675">
        <w:t xml:space="preserve">onstruction, </w:t>
      </w:r>
      <w:r w:rsidRPr="00C42F86">
        <w:t>whe</w:t>
      </w:r>
      <w:r w:rsidR="0021093D">
        <w:t>re</w:t>
      </w:r>
      <w:r w:rsidRPr="00C42F86">
        <w:t xml:space="preserve"> results are not statistically significant, the estimate</w:t>
      </w:r>
      <w:r w:rsidR="0021093D">
        <w:t>d</w:t>
      </w:r>
      <w:r w:rsidRPr="00C42F86">
        <w:t xml:space="preserve"> demand reduction is less than 1% and therefore hard to distinguish from </w:t>
      </w:r>
      <w:r w:rsidR="0021093D">
        <w:t>zero</w:t>
      </w:r>
      <w:r w:rsidRPr="00C42F86">
        <w:t xml:space="preserve">.  Two sectors with a large number of CPP enrollees </w:t>
      </w:r>
      <w:r w:rsidR="00230675" w:rsidRPr="00230675">
        <w:t xml:space="preserve">– </w:t>
      </w:r>
      <w:r w:rsidR="005D51F9">
        <w:t>I</w:t>
      </w:r>
      <w:r w:rsidR="00230675" w:rsidRPr="00230675">
        <w:t>nstitutional/</w:t>
      </w:r>
      <w:r w:rsidR="005D51F9">
        <w:t>G</w:t>
      </w:r>
      <w:r w:rsidR="00230675" w:rsidRPr="00230675">
        <w:t xml:space="preserve">overnment and </w:t>
      </w:r>
      <w:r w:rsidR="005D51F9">
        <w:t>S</w:t>
      </w:r>
      <w:r w:rsidR="00230675" w:rsidRPr="00230675">
        <w:t>chools</w:t>
      </w:r>
      <w:r w:rsidRPr="00C42F86">
        <w:t xml:space="preserve"> – do not deliver meaningful</w:t>
      </w:r>
      <w:r w:rsidR="0021093D">
        <w:t xml:space="preserve"> loa</w:t>
      </w:r>
      <w:r w:rsidRPr="00C42F86">
        <w:t>d reductions.</w:t>
      </w:r>
      <w:r w:rsidR="0021093D">
        <w:t xml:space="preserve">  De</w:t>
      </w:r>
      <w:r w:rsidRPr="00C42F86">
        <w:t xml:space="preserve">mand reduction for customers in the </w:t>
      </w:r>
      <w:r w:rsidR="005D51F9">
        <w:t>A</w:t>
      </w:r>
      <w:r w:rsidR="005D51F9" w:rsidRPr="00230675">
        <w:t xml:space="preserve">griculture, </w:t>
      </w:r>
      <w:r w:rsidR="005D51F9">
        <w:t>M</w:t>
      </w:r>
      <w:r w:rsidR="005D51F9" w:rsidRPr="00230675">
        <w:t xml:space="preserve">ining </w:t>
      </w:r>
      <w:r w:rsidR="005D51F9">
        <w:t>&amp;</w:t>
      </w:r>
      <w:r w:rsidR="005D51F9" w:rsidRPr="00230675">
        <w:t xml:space="preserve"> </w:t>
      </w:r>
      <w:r w:rsidR="005D51F9">
        <w:t>C</w:t>
      </w:r>
      <w:r w:rsidR="005D51F9" w:rsidRPr="00230675">
        <w:t>onstruction</w:t>
      </w:r>
      <w:r w:rsidR="00230675" w:rsidRPr="00230675">
        <w:t xml:space="preserve"> </w:t>
      </w:r>
      <w:r w:rsidRPr="00C42F86">
        <w:t>sector</w:t>
      </w:r>
      <w:r w:rsidR="0021093D">
        <w:t xml:space="preserve"> was 4.0%</w:t>
      </w:r>
      <w:r w:rsidRPr="00C42F86">
        <w:t xml:space="preserve">.  However, the reductions are not </w:t>
      </w:r>
      <w:r w:rsidR="0021093D">
        <w:t xml:space="preserve">statistically </w:t>
      </w:r>
      <w:r w:rsidRPr="00C42F86">
        <w:t>significant</w:t>
      </w:r>
      <w:r w:rsidR="00C42F86" w:rsidRPr="00C42F86">
        <w:t>,</w:t>
      </w:r>
      <w:r w:rsidRPr="00C42F86">
        <w:t xml:space="preserve"> likely because of the smaller number of customers, 87, and the inherently variable loads among customers in this segment.  Both of these factors affect the amount of background noise – or inherent variability – making it more difficult to detect small percentage demand reductions.  </w:t>
      </w:r>
    </w:p>
    <w:p w:rsidR="00DF06D5" w:rsidRPr="00C42F86" w:rsidRDefault="00DF06D5" w:rsidP="00930216">
      <w:pPr>
        <w:pStyle w:val="BodyParagraph"/>
      </w:pPr>
      <w:r w:rsidRPr="00C42F86">
        <w:t xml:space="preserve">The program demand reductions are concentrated among customers in the </w:t>
      </w:r>
      <w:r w:rsidR="005D51F9">
        <w:t>M</w:t>
      </w:r>
      <w:r w:rsidR="00230675" w:rsidRPr="00230675">
        <w:t>anufacturing</w:t>
      </w:r>
      <w:r w:rsidRPr="00C42F86">
        <w:t xml:space="preserve"> and </w:t>
      </w:r>
      <w:r w:rsidR="005D51F9">
        <w:t>W</w:t>
      </w:r>
      <w:r w:rsidR="00230675" w:rsidRPr="00230675">
        <w:t>holesale</w:t>
      </w:r>
      <w:r w:rsidR="005D51F9">
        <w:t>,</w:t>
      </w:r>
      <w:r w:rsidR="00230675" w:rsidRPr="00230675">
        <w:t xml:space="preserve"> </w:t>
      </w:r>
      <w:r w:rsidR="005D51F9">
        <w:t>T</w:t>
      </w:r>
      <w:r w:rsidR="00230675" w:rsidRPr="00230675">
        <w:t>r</w:t>
      </w:r>
      <w:r w:rsidR="00F50280">
        <w:t>ansport</w:t>
      </w:r>
      <w:r w:rsidR="005D51F9">
        <w:t xml:space="preserve"> &amp; Other Utilities</w:t>
      </w:r>
      <w:r w:rsidRPr="00C42F86">
        <w:t xml:space="preserve"> segments.  The pattern is similar to the industry concentration </w:t>
      </w:r>
      <w:r w:rsidR="0021093D">
        <w:t>seen</w:t>
      </w:r>
      <w:r w:rsidRPr="00C42F86">
        <w:t xml:space="preserve"> at PG&amp;E, but program resources are even more highly concentrated among these two sectors at SCE.  The </w:t>
      </w:r>
      <w:r w:rsidR="00F50280">
        <w:t>m</w:t>
      </w:r>
      <w:r w:rsidR="00230675" w:rsidRPr="00230675">
        <w:t>anufacturing</w:t>
      </w:r>
      <w:r w:rsidRPr="00C42F86">
        <w:t xml:space="preserve"> sector provides nearly two thirds of the aggregate load reduction on the average event day, while comprising only 28% of program enrollment.  When combined with </w:t>
      </w:r>
      <w:r w:rsidR="005D51F9">
        <w:t>W</w:t>
      </w:r>
      <w:r w:rsidR="005D51F9" w:rsidRPr="00230675">
        <w:t>holesale</w:t>
      </w:r>
      <w:r w:rsidR="005D51F9">
        <w:t>,</w:t>
      </w:r>
      <w:r w:rsidR="005D51F9" w:rsidRPr="00230675">
        <w:t xml:space="preserve"> </w:t>
      </w:r>
      <w:r w:rsidR="005D51F9">
        <w:t>T</w:t>
      </w:r>
      <w:r w:rsidR="005D51F9" w:rsidRPr="00230675">
        <w:t>r</w:t>
      </w:r>
      <w:r w:rsidR="005D51F9">
        <w:t>ansport &amp; Other Utilities</w:t>
      </w:r>
      <w:r w:rsidR="00230675" w:rsidRPr="00230675">
        <w:t>,</w:t>
      </w:r>
      <w:r w:rsidRPr="00C42F86">
        <w:t xml:space="preserve"> the two segments accounted for 43% of enrollment but more</w:t>
      </w:r>
      <w:r w:rsidR="005D51F9">
        <w:t> </w:t>
      </w:r>
      <w:r w:rsidRPr="00C42F86">
        <w:t xml:space="preserve">than 83% of aggregate load reduction.  Customers in these two industry sectors were not substantially bigger than the average customer; they simply reduced a larger share of demand during events.  The </w:t>
      </w:r>
      <w:r w:rsidR="005D51F9">
        <w:t>M</w:t>
      </w:r>
      <w:r w:rsidR="00230675" w:rsidRPr="00230675">
        <w:t xml:space="preserve">anufacturing </w:t>
      </w:r>
      <w:r w:rsidRPr="00C42F86">
        <w:t>segment had the highest percentage demand response, equal to 13%, followed by</w:t>
      </w:r>
      <w:r w:rsidR="00C42F86">
        <w:t> </w:t>
      </w:r>
      <w:r w:rsidR="005D51F9">
        <w:t>W</w:t>
      </w:r>
      <w:r w:rsidR="005D51F9" w:rsidRPr="00230675">
        <w:t>holesale</w:t>
      </w:r>
      <w:r w:rsidR="005D51F9">
        <w:t>,</w:t>
      </w:r>
      <w:r w:rsidR="005D51F9" w:rsidRPr="00230675">
        <w:t xml:space="preserve"> </w:t>
      </w:r>
      <w:r w:rsidR="005D51F9">
        <w:t>T</w:t>
      </w:r>
      <w:r w:rsidR="005D51F9" w:rsidRPr="00230675">
        <w:t>r</w:t>
      </w:r>
      <w:r w:rsidR="005D51F9">
        <w:t>ansport &amp; Other Utilities</w:t>
      </w:r>
      <w:r w:rsidR="005D51F9" w:rsidDel="005D51F9">
        <w:t xml:space="preserve"> </w:t>
      </w:r>
      <w:r w:rsidRPr="00C42F86">
        <w:t xml:space="preserve">customers, who reduced </w:t>
      </w:r>
      <w:r w:rsidR="0021093D">
        <w:t xml:space="preserve">load by </w:t>
      </w:r>
      <w:r w:rsidRPr="00C42F86">
        <w:t xml:space="preserve">9.4%. </w:t>
      </w:r>
    </w:p>
    <w:p w:rsidR="00DF06D5" w:rsidRDefault="00DF06D5" w:rsidP="00DF06D5">
      <w:pPr>
        <w:pStyle w:val="BodyParagraph"/>
      </w:pPr>
      <w:r>
        <w:t xml:space="preserve">Similar to PG&amp;E’s CPP tariff, </w:t>
      </w:r>
      <w:r w:rsidR="00F50280">
        <w:t>s</w:t>
      </w:r>
      <w:r>
        <w:t xml:space="preserve">chools accounted for a relatively large percent of program participants, 15%, but did not produce statistically significant load reductions.  Other customer segments also accounted for a large share of enrollment but a small share of the load impacts.  The </w:t>
      </w:r>
      <w:r w:rsidR="005D51F9">
        <w:t>O</w:t>
      </w:r>
      <w:r>
        <w:t xml:space="preserve">ffices, </w:t>
      </w:r>
      <w:r w:rsidR="005D51F9">
        <w:t>H</w:t>
      </w:r>
      <w:r>
        <w:t xml:space="preserve">otels, </w:t>
      </w:r>
      <w:r w:rsidR="005D51F9">
        <w:t>F</w:t>
      </w:r>
      <w:r>
        <w:t xml:space="preserve">inance </w:t>
      </w:r>
      <w:r w:rsidR="005D51F9">
        <w:t>&amp;</w:t>
      </w:r>
      <w:r>
        <w:t xml:space="preserve"> </w:t>
      </w:r>
      <w:r w:rsidR="005D51F9">
        <w:t>S</w:t>
      </w:r>
      <w:r>
        <w:t>ervices sector showed a small but statistically significant decrease in energy use on the average event day, and the Institutional/Government segment showed statistically insignificant results.  Combined, these three sectors accounted for over 40% of the program load but delivered less</w:t>
      </w:r>
      <w:r w:rsidR="00C42F86">
        <w:t> than</w:t>
      </w:r>
      <w:r>
        <w:t xml:space="preserve"> 5% of program demand reduction. </w:t>
      </w:r>
    </w:p>
    <w:p w:rsidR="00DF06D5" w:rsidRDefault="00DF06D5" w:rsidP="00930216">
      <w:pPr>
        <w:pStyle w:val="Heading2"/>
      </w:pPr>
      <w:bookmarkStart w:id="113" w:name="_Toc326072116"/>
      <w:bookmarkStart w:id="114" w:name="_Toc352323640"/>
      <w:r>
        <w:t xml:space="preserve">Load </w:t>
      </w:r>
      <w:r w:rsidRPr="00930216">
        <w:t>Impacts</w:t>
      </w:r>
      <w:r>
        <w:t xml:space="preserve"> by Local Capacity Area</w:t>
      </w:r>
      <w:bookmarkEnd w:id="113"/>
      <w:r>
        <w:t xml:space="preserve"> and Transmission</w:t>
      </w:r>
      <w:r w:rsidR="00930216">
        <w:t> </w:t>
      </w:r>
      <w:r>
        <w:t>Region</w:t>
      </w:r>
      <w:bookmarkEnd w:id="114"/>
    </w:p>
    <w:p w:rsidR="00DF06D5" w:rsidRDefault="00DF06D5" w:rsidP="00DF06D5">
      <w:pPr>
        <w:pStyle w:val="BodyParagraph"/>
      </w:pPr>
      <w:r>
        <w:t>Table 5-2 shows the estimated ex post load impacts by local capacity area (LCA).  The table also includes results for two transmission constrained areas: South Orange County and South of Lugo.  The</w:t>
      </w:r>
      <w:r w:rsidR="00C42F86">
        <w:t> </w:t>
      </w:r>
      <w:r>
        <w:t>South Orange County power flow has been affected by the outage of two out of three nuclear generation units at San Onofre.</w:t>
      </w:r>
      <w:r>
        <w:rPr>
          <w:rStyle w:val="FootnoteReference"/>
        </w:rPr>
        <w:footnoteReference w:id="22"/>
      </w:r>
    </w:p>
    <w:p w:rsidR="00DF06D5" w:rsidRDefault="00DF06D5" w:rsidP="00DF06D5">
      <w:pPr>
        <w:pStyle w:val="BodyParagraph"/>
      </w:pPr>
      <w:r>
        <w:t xml:space="preserve">In total, 84% of enrolled customers and 86% of aggregate load reduction came from the Los Angeles Basin.  The customer size and percent demand reductions did not vary substantially across local capacity areas.  </w:t>
      </w:r>
    </w:p>
    <w:p w:rsidR="00DF06D5" w:rsidRDefault="00DF06D5" w:rsidP="00DF06D5">
      <w:pPr>
        <w:pStyle w:val="BodyParagraph"/>
      </w:pPr>
      <w:r>
        <w:t xml:space="preserve">Overall, 44% of SCE’s CPP participants are located in the South of Lugo or South Orange County transmission regions.  These 1,082 CPP customers reduced demand by 17.8 MW for the average event day; they delivered 2.0 MW in South Orange County and 16.8 MW in South of Lugo.  At 3.7%, the </w:t>
      </w:r>
      <w:r w:rsidR="00324B30">
        <w:lastRenderedPageBreak/>
        <w:t xml:space="preserve">average </w:t>
      </w:r>
      <w:r>
        <w:t>percentage demand reduction in South Orange County w</w:t>
      </w:r>
      <w:r w:rsidR="00324B30">
        <w:t>as</w:t>
      </w:r>
      <w:r>
        <w:t xml:space="preserve"> </w:t>
      </w:r>
      <w:r w:rsidR="00324B30">
        <w:t>less</w:t>
      </w:r>
      <w:r>
        <w:t xml:space="preserve"> than the program average, 6.0%.  </w:t>
      </w:r>
      <w:r w:rsidR="00324B30">
        <w:t>T</w:t>
      </w:r>
      <w:r>
        <w:t xml:space="preserve">he difference is likely due to the industry mix in South Orange County.  </w:t>
      </w:r>
    </w:p>
    <w:p w:rsidR="00DF06D5" w:rsidRDefault="00DF06D5" w:rsidP="00DF06D5">
      <w:pPr>
        <w:pStyle w:val="TableFigureCaption"/>
      </w:pPr>
      <w:r>
        <w:t>Table 5-3: Estimated Ex Post Load Impacts by Area</w:t>
      </w:r>
      <w:r>
        <w:br/>
        <w:t>Average 2012 SCE CPP Event (2</w:t>
      </w:r>
      <w:r w:rsidR="00C42F86">
        <w:t>–</w:t>
      </w:r>
      <w:r>
        <w:t>6 PM)</w:t>
      </w:r>
    </w:p>
    <w:tbl>
      <w:tblPr>
        <w:tblW w:w="9763" w:type="dxa"/>
        <w:tblLayout w:type="fixed"/>
        <w:tblLook w:val="04A0" w:firstRow="1" w:lastRow="0" w:firstColumn="1" w:lastColumn="0" w:noHBand="0" w:noVBand="1"/>
      </w:tblPr>
      <w:tblGrid>
        <w:gridCol w:w="1123"/>
        <w:gridCol w:w="1710"/>
        <w:gridCol w:w="689"/>
        <w:gridCol w:w="931"/>
        <w:gridCol w:w="990"/>
        <w:gridCol w:w="810"/>
        <w:gridCol w:w="900"/>
        <w:gridCol w:w="900"/>
        <w:gridCol w:w="720"/>
        <w:gridCol w:w="990"/>
      </w:tblGrid>
      <w:tr w:rsidR="00930216" w:rsidRPr="00A65C4F" w:rsidTr="00930216">
        <w:trPr>
          <w:trHeight w:val="944"/>
        </w:trPr>
        <w:tc>
          <w:tcPr>
            <w:tcW w:w="1123" w:type="dxa"/>
            <w:tcBorders>
              <w:top w:val="single" w:sz="4" w:space="0" w:color="000000"/>
              <w:left w:val="single" w:sz="4" w:space="0" w:color="000000"/>
              <w:bottom w:val="single" w:sz="4" w:space="0" w:color="FFFFFF"/>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Type of Category</w:t>
            </w:r>
          </w:p>
        </w:tc>
        <w:tc>
          <w:tcPr>
            <w:tcW w:w="1710" w:type="dxa"/>
            <w:tcBorders>
              <w:top w:val="single" w:sz="4" w:space="0" w:color="000000"/>
              <w:left w:val="single" w:sz="4" w:space="0" w:color="FFFFFF"/>
              <w:bottom w:val="single" w:sz="4" w:space="0" w:color="FFFFFF"/>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Area</w:t>
            </w:r>
          </w:p>
        </w:tc>
        <w:tc>
          <w:tcPr>
            <w:tcW w:w="689" w:type="dxa"/>
            <w:tcBorders>
              <w:top w:val="single" w:sz="4" w:space="0" w:color="000000"/>
              <w:left w:val="single" w:sz="4" w:space="0" w:color="FFFFFF"/>
              <w:bottom w:val="single" w:sz="4" w:space="0" w:color="FFFFFF"/>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Accts</w:t>
            </w:r>
          </w:p>
        </w:tc>
        <w:tc>
          <w:tcPr>
            <w:tcW w:w="931" w:type="dxa"/>
            <w:tcBorders>
              <w:top w:val="single" w:sz="4" w:space="0" w:color="000000"/>
              <w:left w:val="nil"/>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Avg. Customer Reference Load</w:t>
            </w:r>
            <w:r>
              <w:rPr>
                <w:sz w:val="16"/>
                <w:szCs w:val="16"/>
              </w:rPr>
              <w:t xml:space="preserve"> </w:t>
            </w:r>
            <w:r w:rsidRPr="00930216">
              <w:rPr>
                <w:sz w:val="16"/>
                <w:szCs w:val="16"/>
              </w:rPr>
              <w:t>(kW)</w:t>
            </w:r>
          </w:p>
        </w:tc>
        <w:tc>
          <w:tcPr>
            <w:tcW w:w="990" w:type="dxa"/>
            <w:tcBorders>
              <w:top w:val="single" w:sz="4" w:space="0" w:color="000000"/>
              <w:left w:val="nil"/>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Avg. Customer Load w/ DR</w:t>
            </w:r>
            <w:r>
              <w:rPr>
                <w:sz w:val="16"/>
                <w:szCs w:val="16"/>
              </w:rPr>
              <w:t xml:space="preserve"> </w:t>
            </w:r>
            <w:r w:rsidRPr="00930216">
              <w:rPr>
                <w:sz w:val="16"/>
                <w:szCs w:val="16"/>
              </w:rPr>
              <w:t>(kW)</w:t>
            </w:r>
          </w:p>
        </w:tc>
        <w:tc>
          <w:tcPr>
            <w:tcW w:w="810" w:type="dxa"/>
            <w:tcBorders>
              <w:top w:val="single" w:sz="4" w:space="0" w:color="000000"/>
              <w:left w:val="nil"/>
              <w:right w:val="single" w:sz="4" w:space="0" w:color="FFFFFF"/>
            </w:tcBorders>
            <w:shd w:val="clear" w:color="000000" w:fill="1F497D"/>
            <w:tcMar>
              <w:left w:w="43" w:type="dxa"/>
              <w:right w:w="43" w:type="dxa"/>
            </w:tcMar>
            <w:vAlign w:val="center"/>
            <w:hideMark/>
          </w:tcPr>
          <w:p w:rsidR="00930216" w:rsidRPr="00930216" w:rsidRDefault="00930216" w:rsidP="00C42F86">
            <w:pPr>
              <w:pStyle w:val="TableHeader"/>
              <w:rPr>
                <w:sz w:val="16"/>
                <w:szCs w:val="16"/>
              </w:rPr>
            </w:pPr>
            <w:r w:rsidRPr="00930216">
              <w:rPr>
                <w:sz w:val="16"/>
                <w:szCs w:val="16"/>
              </w:rPr>
              <w:t>Impact</w:t>
            </w:r>
            <w:r w:rsidR="00C42F86">
              <w:rPr>
                <w:sz w:val="16"/>
                <w:szCs w:val="16"/>
              </w:rPr>
              <w:t xml:space="preserve"> </w:t>
            </w:r>
            <w:r w:rsidRPr="00930216">
              <w:rPr>
                <w:sz w:val="16"/>
                <w:szCs w:val="16"/>
              </w:rPr>
              <w:t>(kW)</w:t>
            </w:r>
          </w:p>
        </w:tc>
        <w:tc>
          <w:tcPr>
            <w:tcW w:w="900" w:type="dxa"/>
            <w:tcBorders>
              <w:top w:val="single" w:sz="4" w:space="0" w:color="000000"/>
              <w:left w:val="nil"/>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Aggregate Impact</w:t>
            </w:r>
            <w:r>
              <w:rPr>
                <w:sz w:val="16"/>
                <w:szCs w:val="16"/>
              </w:rPr>
              <w:t xml:space="preserve"> </w:t>
            </w:r>
            <w:r w:rsidRPr="00930216">
              <w:rPr>
                <w:sz w:val="16"/>
                <w:szCs w:val="16"/>
              </w:rPr>
              <w:t>(MW)</w:t>
            </w:r>
          </w:p>
        </w:tc>
        <w:tc>
          <w:tcPr>
            <w:tcW w:w="900" w:type="dxa"/>
            <w:tcBorders>
              <w:top w:val="single" w:sz="4" w:space="0" w:color="000000"/>
              <w:left w:val="nil"/>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Reduction</w:t>
            </w:r>
            <w:r>
              <w:rPr>
                <w:sz w:val="16"/>
                <w:szCs w:val="16"/>
              </w:rPr>
              <w:t xml:space="preserve"> </w:t>
            </w:r>
            <w:r w:rsidRPr="00930216">
              <w:rPr>
                <w:sz w:val="16"/>
                <w:szCs w:val="16"/>
              </w:rPr>
              <w:t>%</w:t>
            </w:r>
          </w:p>
        </w:tc>
        <w:tc>
          <w:tcPr>
            <w:tcW w:w="720" w:type="dxa"/>
            <w:tcBorders>
              <w:top w:val="single" w:sz="4" w:space="0" w:color="000000"/>
              <w:left w:val="nil"/>
              <w:right w:val="single" w:sz="4" w:space="0" w:color="FFFFFF"/>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Avg. Temp</w:t>
            </w:r>
            <w:r>
              <w:rPr>
                <w:sz w:val="16"/>
                <w:szCs w:val="16"/>
              </w:rPr>
              <w:t xml:space="preserve"> </w:t>
            </w:r>
            <w:r w:rsidRPr="00930216">
              <w:rPr>
                <w:sz w:val="16"/>
                <w:szCs w:val="16"/>
              </w:rPr>
              <w:t>°F</w:t>
            </w:r>
          </w:p>
        </w:tc>
        <w:tc>
          <w:tcPr>
            <w:tcW w:w="990" w:type="dxa"/>
            <w:tcBorders>
              <w:top w:val="single" w:sz="4" w:space="0" w:color="000000"/>
              <w:left w:val="single" w:sz="4" w:space="0" w:color="FFFFFF"/>
              <w:bottom w:val="single" w:sz="4" w:space="0" w:color="FFFFFF"/>
              <w:right w:val="single" w:sz="4" w:space="0" w:color="000000"/>
            </w:tcBorders>
            <w:shd w:val="clear" w:color="000000" w:fill="1F497D"/>
            <w:tcMar>
              <w:left w:w="43" w:type="dxa"/>
              <w:right w:w="43" w:type="dxa"/>
            </w:tcMar>
            <w:vAlign w:val="center"/>
            <w:hideMark/>
          </w:tcPr>
          <w:p w:rsidR="00930216" w:rsidRPr="00930216" w:rsidRDefault="00930216" w:rsidP="00930216">
            <w:pPr>
              <w:pStyle w:val="TableHeader"/>
              <w:rPr>
                <w:sz w:val="16"/>
                <w:szCs w:val="16"/>
              </w:rPr>
            </w:pPr>
            <w:r w:rsidRPr="00930216">
              <w:rPr>
                <w:sz w:val="16"/>
                <w:szCs w:val="16"/>
              </w:rPr>
              <w:t>Stat. significant?</w:t>
            </w:r>
          </w:p>
        </w:tc>
      </w:tr>
      <w:tr w:rsidR="00DF06D5" w:rsidRPr="00A65C4F" w:rsidTr="00850108">
        <w:trPr>
          <w:trHeight w:val="399"/>
        </w:trPr>
        <w:tc>
          <w:tcPr>
            <w:tcW w:w="1123" w:type="dxa"/>
            <w:vMerge w:val="restart"/>
            <w:tcBorders>
              <w:top w:val="single" w:sz="4" w:space="0" w:color="auto"/>
              <w:left w:val="single" w:sz="4" w:space="0" w:color="auto"/>
              <w:bottom w:val="single" w:sz="4" w:space="0" w:color="000000"/>
              <w:right w:val="single" w:sz="4" w:space="0" w:color="auto"/>
            </w:tcBorders>
            <w:shd w:val="clear" w:color="auto" w:fill="auto"/>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Local Capacity Area</w:t>
            </w:r>
          </w:p>
        </w:tc>
        <w:tc>
          <w:tcPr>
            <w:tcW w:w="171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Outside</w:t>
            </w:r>
          </w:p>
        </w:tc>
        <w:tc>
          <w:tcPr>
            <w:tcW w:w="689"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141</w:t>
            </w:r>
          </w:p>
        </w:tc>
        <w:tc>
          <w:tcPr>
            <w:tcW w:w="931"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225.7</w:t>
            </w:r>
          </w:p>
        </w:tc>
        <w:tc>
          <w:tcPr>
            <w:tcW w:w="99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211.9</w:t>
            </w:r>
          </w:p>
        </w:tc>
        <w:tc>
          <w:tcPr>
            <w:tcW w:w="81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13.8</w:t>
            </w:r>
          </w:p>
        </w:tc>
        <w:tc>
          <w:tcPr>
            <w:tcW w:w="90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1.9</w:t>
            </w:r>
          </w:p>
        </w:tc>
        <w:tc>
          <w:tcPr>
            <w:tcW w:w="90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6.1%</w:t>
            </w:r>
          </w:p>
        </w:tc>
        <w:tc>
          <w:tcPr>
            <w:tcW w:w="72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91.5</w:t>
            </w:r>
          </w:p>
        </w:tc>
        <w:tc>
          <w:tcPr>
            <w:tcW w:w="990" w:type="dxa"/>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Yes</w:t>
            </w:r>
          </w:p>
        </w:tc>
      </w:tr>
      <w:tr w:rsidR="00DF06D5" w:rsidRPr="00A65C4F" w:rsidTr="00850108">
        <w:trPr>
          <w:trHeight w:val="399"/>
        </w:trPr>
        <w:tc>
          <w:tcPr>
            <w:tcW w:w="1123" w:type="dxa"/>
            <w:vMerge/>
            <w:tcBorders>
              <w:top w:val="single" w:sz="4" w:space="0" w:color="auto"/>
              <w:left w:val="single" w:sz="4" w:space="0" w:color="auto"/>
              <w:bottom w:val="single" w:sz="4" w:space="0" w:color="000000"/>
              <w:right w:val="single" w:sz="4" w:space="0" w:color="auto"/>
            </w:tcBorders>
            <w:tcMar>
              <w:left w:w="43" w:type="dxa"/>
              <w:right w:w="43" w:type="dxa"/>
            </w:tcMar>
            <w:vAlign w:val="center"/>
            <w:hideMark/>
          </w:tcPr>
          <w:p w:rsidR="00DF06D5" w:rsidRPr="001C4623" w:rsidRDefault="00DF06D5" w:rsidP="00930216">
            <w:pPr>
              <w:pStyle w:val="TableText"/>
              <w:rPr>
                <w:sz w:val="16"/>
                <w:szCs w:val="16"/>
              </w:rPr>
            </w:pPr>
          </w:p>
        </w:tc>
        <w:tc>
          <w:tcPr>
            <w:tcW w:w="17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Ventura</w:t>
            </w:r>
          </w:p>
        </w:tc>
        <w:tc>
          <w:tcPr>
            <w:tcW w:w="68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255</w:t>
            </w:r>
          </w:p>
        </w:tc>
        <w:tc>
          <w:tcPr>
            <w:tcW w:w="93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230.6</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218.5</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12.1</w:t>
            </w:r>
          </w:p>
        </w:tc>
        <w:tc>
          <w:tcPr>
            <w:tcW w:w="90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3.1</w:t>
            </w:r>
          </w:p>
        </w:tc>
        <w:tc>
          <w:tcPr>
            <w:tcW w:w="90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5.2%</w:t>
            </w:r>
          </w:p>
        </w:tc>
        <w:tc>
          <w:tcPr>
            <w:tcW w:w="7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83.9</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Yes</w:t>
            </w:r>
          </w:p>
        </w:tc>
      </w:tr>
      <w:tr w:rsidR="00DF06D5" w:rsidRPr="00A65C4F" w:rsidTr="00850108">
        <w:trPr>
          <w:trHeight w:val="399"/>
        </w:trPr>
        <w:tc>
          <w:tcPr>
            <w:tcW w:w="1123" w:type="dxa"/>
            <w:vMerge/>
            <w:tcBorders>
              <w:top w:val="single" w:sz="4" w:space="0" w:color="auto"/>
              <w:left w:val="single" w:sz="4" w:space="0" w:color="auto"/>
              <w:bottom w:val="single" w:sz="4" w:space="0" w:color="000000"/>
              <w:right w:val="single" w:sz="4" w:space="0" w:color="auto"/>
            </w:tcBorders>
            <w:tcMar>
              <w:left w:w="43" w:type="dxa"/>
              <w:right w:w="43" w:type="dxa"/>
            </w:tcMar>
            <w:vAlign w:val="center"/>
            <w:hideMark/>
          </w:tcPr>
          <w:p w:rsidR="00DF06D5" w:rsidRPr="001C4623" w:rsidRDefault="00DF06D5" w:rsidP="00930216">
            <w:pPr>
              <w:pStyle w:val="TableText"/>
              <w:rPr>
                <w:sz w:val="16"/>
                <w:szCs w:val="16"/>
              </w:rPr>
            </w:pPr>
          </w:p>
        </w:tc>
        <w:tc>
          <w:tcPr>
            <w:tcW w:w="17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LA Basin</w:t>
            </w:r>
          </w:p>
        </w:tc>
        <w:tc>
          <w:tcPr>
            <w:tcW w:w="68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2,075</w:t>
            </w:r>
          </w:p>
        </w:tc>
        <w:tc>
          <w:tcPr>
            <w:tcW w:w="93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220.9</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207.2</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13.8</w:t>
            </w:r>
          </w:p>
        </w:tc>
        <w:tc>
          <w:tcPr>
            <w:tcW w:w="90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28.6</w:t>
            </w:r>
          </w:p>
        </w:tc>
        <w:tc>
          <w:tcPr>
            <w:tcW w:w="90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6.2%</w:t>
            </w:r>
          </w:p>
        </w:tc>
        <w:tc>
          <w:tcPr>
            <w:tcW w:w="7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87.4</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Yes</w:t>
            </w:r>
          </w:p>
        </w:tc>
      </w:tr>
      <w:tr w:rsidR="00DF06D5" w:rsidRPr="00A65C4F" w:rsidTr="00850108">
        <w:trPr>
          <w:trHeight w:val="399"/>
        </w:trPr>
        <w:tc>
          <w:tcPr>
            <w:tcW w:w="1123" w:type="dxa"/>
            <w:vMerge w:val="restart"/>
            <w:tcBorders>
              <w:top w:val="nil"/>
              <w:left w:val="single" w:sz="4" w:space="0" w:color="auto"/>
              <w:bottom w:val="single" w:sz="4" w:space="0" w:color="000000"/>
              <w:right w:val="single" w:sz="4" w:space="0" w:color="auto"/>
            </w:tcBorders>
            <w:shd w:val="clear" w:color="auto" w:fill="auto"/>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Transmission Area</w:t>
            </w:r>
          </w:p>
        </w:tc>
        <w:tc>
          <w:tcPr>
            <w:tcW w:w="17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S. Orange County</w:t>
            </w:r>
          </w:p>
        </w:tc>
        <w:tc>
          <w:tcPr>
            <w:tcW w:w="68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241</w:t>
            </w:r>
          </w:p>
        </w:tc>
        <w:tc>
          <w:tcPr>
            <w:tcW w:w="93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226.2</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217.7</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8.4</w:t>
            </w:r>
          </w:p>
        </w:tc>
        <w:tc>
          <w:tcPr>
            <w:tcW w:w="90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2.0</w:t>
            </w:r>
          </w:p>
        </w:tc>
        <w:tc>
          <w:tcPr>
            <w:tcW w:w="90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3.7%</w:t>
            </w:r>
          </w:p>
        </w:tc>
        <w:tc>
          <w:tcPr>
            <w:tcW w:w="7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81.3</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Yes</w:t>
            </w:r>
          </w:p>
        </w:tc>
      </w:tr>
      <w:tr w:rsidR="00DF06D5" w:rsidRPr="00A65C4F" w:rsidTr="00850108">
        <w:trPr>
          <w:trHeight w:val="399"/>
        </w:trPr>
        <w:tc>
          <w:tcPr>
            <w:tcW w:w="1123" w:type="dxa"/>
            <w:vMerge/>
            <w:tcBorders>
              <w:top w:val="nil"/>
              <w:left w:val="single" w:sz="4" w:space="0" w:color="auto"/>
              <w:bottom w:val="single" w:sz="4" w:space="0" w:color="000000"/>
              <w:right w:val="single" w:sz="4" w:space="0" w:color="auto"/>
            </w:tcBorders>
            <w:tcMar>
              <w:left w:w="43" w:type="dxa"/>
              <w:right w:w="43" w:type="dxa"/>
            </w:tcMar>
            <w:vAlign w:val="center"/>
            <w:hideMark/>
          </w:tcPr>
          <w:p w:rsidR="00DF06D5" w:rsidRPr="001C4623" w:rsidRDefault="00DF06D5" w:rsidP="00930216">
            <w:pPr>
              <w:pStyle w:val="TableText"/>
              <w:rPr>
                <w:sz w:val="16"/>
                <w:szCs w:val="16"/>
              </w:rPr>
            </w:pPr>
          </w:p>
        </w:tc>
        <w:tc>
          <w:tcPr>
            <w:tcW w:w="17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South of Lugo</w:t>
            </w:r>
          </w:p>
        </w:tc>
        <w:tc>
          <w:tcPr>
            <w:tcW w:w="68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841</w:t>
            </w:r>
          </w:p>
        </w:tc>
        <w:tc>
          <w:tcPr>
            <w:tcW w:w="93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220.8</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202.0</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18.8</w:t>
            </w:r>
          </w:p>
        </w:tc>
        <w:tc>
          <w:tcPr>
            <w:tcW w:w="90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15.8</w:t>
            </w:r>
          </w:p>
        </w:tc>
        <w:tc>
          <w:tcPr>
            <w:tcW w:w="90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8.5%</w:t>
            </w:r>
          </w:p>
        </w:tc>
        <w:tc>
          <w:tcPr>
            <w:tcW w:w="7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91.3</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Yes</w:t>
            </w:r>
          </w:p>
        </w:tc>
      </w:tr>
      <w:tr w:rsidR="00DF06D5" w:rsidRPr="00A65C4F" w:rsidTr="00850108">
        <w:trPr>
          <w:trHeight w:val="399"/>
        </w:trPr>
        <w:tc>
          <w:tcPr>
            <w:tcW w:w="1123" w:type="dxa"/>
            <w:vMerge/>
            <w:tcBorders>
              <w:top w:val="nil"/>
              <w:left w:val="single" w:sz="4" w:space="0" w:color="auto"/>
              <w:bottom w:val="single" w:sz="4" w:space="0" w:color="000000"/>
              <w:right w:val="single" w:sz="4" w:space="0" w:color="auto"/>
            </w:tcBorders>
            <w:tcMar>
              <w:left w:w="43" w:type="dxa"/>
              <w:right w:w="43" w:type="dxa"/>
            </w:tcMar>
            <w:vAlign w:val="center"/>
            <w:hideMark/>
          </w:tcPr>
          <w:p w:rsidR="00DF06D5" w:rsidRPr="001C4623" w:rsidRDefault="00DF06D5" w:rsidP="00930216">
            <w:pPr>
              <w:pStyle w:val="TableText"/>
              <w:rPr>
                <w:sz w:val="16"/>
                <w:szCs w:val="16"/>
              </w:rPr>
            </w:pPr>
          </w:p>
        </w:tc>
        <w:tc>
          <w:tcPr>
            <w:tcW w:w="17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Other</w:t>
            </w:r>
          </w:p>
        </w:tc>
        <w:tc>
          <w:tcPr>
            <w:tcW w:w="689"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1,389</w:t>
            </w:r>
          </w:p>
        </w:tc>
        <w:tc>
          <w:tcPr>
            <w:tcW w:w="931"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222.2</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211.0</w:t>
            </w:r>
          </w:p>
        </w:tc>
        <w:tc>
          <w:tcPr>
            <w:tcW w:w="81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11.1</w:t>
            </w:r>
          </w:p>
        </w:tc>
        <w:tc>
          <w:tcPr>
            <w:tcW w:w="90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15.5</w:t>
            </w:r>
          </w:p>
        </w:tc>
        <w:tc>
          <w:tcPr>
            <w:tcW w:w="90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5.0%</w:t>
            </w:r>
          </w:p>
        </w:tc>
        <w:tc>
          <w:tcPr>
            <w:tcW w:w="72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86.0</w:t>
            </w:r>
          </w:p>
        </w:tc>
        <w:tc>
          <w:tcPr>
            <w:tcW w:w="990" w:type="dxa"/>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DF06D5" w:rsidRPr="001C4623" w:rsidRDefault="00DF06D5" w:rsidP="00930216">
            <w:pPr>
              <w:pStyle w:val="TableText"/>
              <w:rPr>
                <w:sz w:val="16"/>
                <w:szCs w:val="16"/>
              </w:rPr>
            </w:pPr>
            <w:r w:rsidRPr="001C4623">
              <w:rPr>
                <w:sz w:val="16"/>
                <w:szCs w:val="16"/>
              </w:rPr>
              <w:t>Yes</w:t>
            </w:r>
          </w:p>
        </w:tc>
      </w:tr>
    </w:tbl>
    <w:p w:rsidR="00DF06D5" w:rsidRDefault="00DF06D5" w:rsidP="00930216">
      <w:pPr>
        <w:pStyle w:val="Heading2"/>
        <w:spacing w:before="360"/>
      </w:pPr>
      <w:bookmarkStart w:id="115" w:name="_Toc326072117"/>
      <w:bookmarkStart w:id="116" w:name="_Toc352323641"/>
      <w:r w:rsidRPr="00930216">
        <w:t>Load</w:t>
      </w:r>
      <w:r>
        <w:t xml:space="preserve"> </w:t>
      </w:r>
      <w:r w:rsidRPr="003850B4">
        <w:t>Impacts</w:t>
      </w:r>
      <w:r>
        <w:t xml:space="preserve"> by Customer Size</w:t>
      </w:r>
      <w:bookmarkEnd w:id="115"/>
      <w:bookmarkEnd w:id="116"/>
    </w:p>
    <w:p w:rsidR="00DF06D5" w:rsidRDefault="00DF06D5" w:rsidP="00DF06D5">
      <w:pPr>
        <w:pStyle w:val="BodyParagraph"/>
      </w:pPr>
      <w:r>
        <w:t xml:space="preserve">Table 5-4 shows the estimated ex post load impact for five customer size categories, </w:t>
      </w:r>
      <w:r w:rsidR="00324B30">
        <w:t>determined by average hourly consumption</w:t>
      </w:r>
      <w:r w:rsidR="00502446">
        <w:t>.</w:t>
      </w:r>
      <w:r w:rsidR="00324B30">
        <w:rPr>
          <w:rStyle w:val="FootnoteReference"/>
        </w:rPr>
        <w:footnoteReference w:id="23"/>
      </w:r>
      <w:r>
        <w:t xml:space="preserve">  As expected, the program load is concentrated among customer</w:t>
      </w:r>
      <w:r w:rsidR="00C42F86">
        <w:t>s</w:t>
      </w:r>
      <w:r>
        <w:t xml:space="preserve"> in the larger size categories. </w:t>
      </w:r>
      <w:r w:rsidR="00C42F86">
        <w:t xml:space="preserve"> </w:t>
      </w:r>
      <w:r>
        <w:t>However, these customers not only have larger loads, they also reduce a larger share of their demand than smaller customers.  Figure 5-</w:t>
      </w:r>
      <w:r w:rsidR="001D1B5A">
        <w:t>4</w:t>
      </w:r>
      <w:r>
        <w:t xml:space="preserve"> shows the trend</w:t>
      </w:r>
      <w:r w:rsidR="00C42F86">
        <w:t> </w:t>
      </w:r>
      <w:r>
        <w:t xml:space="preserve">visually. </w:t>
      </w:r>
    </w:p>
    <w:p w:rsidR="00DF06D5" w:rsidRPr="00930216" w:rsidRDefault="00DF06D5" w:rsidP="00930216">
      <w:pPr>
        <w:pStyle w:val="TableFigureCaption"/>
      </w:pPr>
      <w:r w:rsidRPr="00930216">
        <w:t>Table 5-4: Estimated Ex Post Load Impacts by Customer Size</w:t>
      </w:r>
      <w:r w:rsidRPr="00930216">
        <w:br/>
        <w:t>Average 2012 SCE CPP Event (2</w:t>
      </w:r>
      <w:r w:rsidR="00C42F86">
        <w:t>–</w:t>
      </w:r>
      <w:r w:rsidRPr="00930216">
        <w:t>6 PM)</w:t>
      </w:r>
    </w:p>
    <w:tbl>
      <w:tblPr>
        <w:tblW w:w="0" w:type="auto"/>
        <w:tblLayout w:type="fixed"/>
        <w:tblLook w:val="04A0" w:firstRow="1" w:lastRow="0" w:firstColumn="1" w:lastColumn="0" w:noHBand="0" w:noVBand="1"/>
      </w:tblPr>
      <w:tblGrid>
        <w:gridCol w:w="1817"/>
        <w:gridCol w:w="732"/>
        <w:gridCol w:w="1080"/>
        <w:gridCol w:w="1018"/>
        <w:gridCol w:w="944"/>
        <w:gridCol w:w="944"/>
        <w:gridCol w:w="944"/>
        <w:gridCol w:w="944"/>
        <w:gridCol w:w="995"/>
      </w:tblGrid>
      <w:tr w:rsidR="00930216" w:rsidRPr="00737157" w:rsidTr="001C4623">
        <w:trPr>
          <w:trHeight w:val="710"/>
        </w:trPr>
        <w:tc>
          <w:tcPr>
            <w:tcW w:w="1817" w:type="dxa"/>
            <w:tcBorders>
              <w:top w:val="single" w:sz="4" w:space="0" w:color="auto"/>
              <w:left w:val="single" w:sz="4" w:space="0" w:color="auto"/>
              <w:bottom w:val="single" w:sz="4" w:space="0" w:color="000000"/>
              <w:right w:val="single" w:sz="4" w:space="0" w:color="FFFFFF"/>
            </w:tcBorders>
            <w:shd w:val="clear" w:color="000000" w:fill="1F497D"/>
            <w:tcMar>
              <w:left w:w="29" w:type="dxa"/>
              <w:right w:w="29" w:type="dxa"/>
            </w:tcMar>
            <w:vAlign w:val="center"/>
            <w:hideMark/>
          </w:tcPr>
          <w:p w:rsidR="00C82C6B" w:rsidRPr="001C4623" w:rsidRDefault="00C82C6B" w:rsidP="001C4623">
            <w:pPr>
              <w:pStyle w:val="TableHeader"/>
              <w:rPr>
                <w:sz w:val="16"/>
                <w:szCs w:val="16"/>
              </w:rPr>
            </w:pPr>
            <w:r w:rsidRPr="001C4623">
              <w:rPr>
                <w:sz w:val="16"/>
                <w:szCs w:val="16"/>
              </w:rPr>
              <w:t>Size Categories</w:t>
            </w:r>
          </w:p>
          <w:p w:rsidR="00930216" w:rsidRPr="001C4623" w:rsidRDefault="00C82C6B" w:rsidP="001C4623">
            <w:pPr>
              <w:pStyle w:val="TableHeader"/>
              <w:rPr>
                <w:sz w:val="16"/>
                <w:szCs w:val="16"/>
              </w:rPr>
            </w:pPr>
            <w:r w:rsidRPr="001C4623">
              <w:rPr>
                <w:sz w:val="16"/>
                <w:szCs w:val="16"/>
              </w:rPr>
              <w:t>(</w:t>
            </w:r>
            <w:r w:rsidR="00DD775D" w:rsidRPr="001C4623">
              <w:rPr>
                <w:sz w:val="16"/>
                <w:szCs w:val="16"/>
              </w:rPr>
              <w:t>Annual  kWh/h</w:t>
            </w:r>
            <w:r w:rsidRPr="001C4623">
              <w:rPr>
                <w:sz w:val="16"/>
                <w:szCs w:val="16"/>
              </w:rPr>
              <w:t>r)</w:t>
            </w:r>
          </w:p>
        </w:tc>
        <w:tc>
          <w:tcPr>
            <w:tcW w:w="732" w:type="dxa"/>
            <w:tcBorders>
              <w:top w:val="single" w:sz="4" w:space="0" w:color="auto"/>
              <w:left w:val="single" w:sz="4" w:space="0" w:color="FFFFFF"/>
              <w:bottom w:val="single" w:sz="4" w:space="0" w:color="auto"/>
              <w:right w:val="single" w:sz="4" w:space="0" w:color="FFFFFF"/>
            </w:tcBorders>
            <w:shd w:val="clear" w:color="000000" w:fill="1F497D"/>
            <w:tcMar>
              <w:left w:w="29" w:type="dxa"/>
              <w:right w:w="29" w:type="dxa"/>
            </w:tcMar>
            <w:vAlign w:val="center"/>
            <w:hideMark/>
          </w:tcPr>
          <w:p w:rsidR="00930216" w:rsidRPr="001C4623" w:rsidRDefault="00930216" w:rsidP="001C4623">
            <w:pPr>
              <w:pStyle w:val="TableHeader"/>
              <w:rPr>
                <w:sz w:val="16"/>
                <w:szCs w:val="16"/>
              </w:rPr>
            </w:pPr>
            <w:r w:rsidRPr="001C4623">
              <w:rPr>
                <w:sz w:val="16"/>
                <w:szCs w:val="16"/>
              </w:rPr>
              <w:t>Accts</w:t>
            </w:r>
            <w:r w:rsidR="00DD775D" w:rsidRPr="001C4623">
              <w:rPr>
                <w:sz w:val="16"/>
                <w:szCs w:val="16"/>
              </w:rPr>
              <w:t>.</w:t>
            </w:r>
          </w:p>
        </w:tc>
        <w:tc>
          <w:tcPr>
            <w:tcW w:w="1080" w:type="dxa"/>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930216" w:rsidRPr="001C4623" w:rsidRDefault="00930216" w:rsidP="001C4623">
            <w:pPr>
              <w:pStyle w:val="TableHeader"/>
              <w:rPr>
                <w:sz w:val="16"/>
                <w:szCs w:val="16"/>
              </w:rPr>
            </w:pPr>
            <w:r w:rsidRPr="001C4623">
              <w:rPr>
                <w:sz w:val="16"/>
                <w:szCs w:val="16"/>
              </w:rPr>
              <w:t>Avg. Customer Reference Load</w:t>
            </w:r>
            <w:r w:rsidR="00833444" w:rsidRPr="001C4623">
              <w:rPr>
                <w:sz w:val="16"/>
                <w:szCs w:val="16"/>
              </w:rPr>
              <w:t xml:space="preserve"> </w:t>
            </w:r>
            <w:r w:rsidRPr="001C4623">
              <w:rPr>
                <w:sz w:val="16"/>
                <w:szCs w:val="16"/>
              </w:rPr>
              <w:t>(kW)</w:t>
            </w:r>
          </w:p>
        </w:tc>
        <w:tc>
          <w:tcPr>
            <w:tcW w:w="1018" w:type="dxa"/>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930216" w:rsidRPr="001C4623" w:rsidRDefault="00930216" w:rsidP="001C4623">
            <w:pPr>
              <w:pStyle w:val="TableHeader"/>
              <w:rPr>
                <w:sz w:val="16"/>
                <w:szCs w:val="16"/>
              </w:rPr>
            </w:pPr>
            <w:r w:rsidRPr="001C4623">
              <w:rPr>
                <w:sz w:val="16"/>
                <w:szCs w:val="16"/>
              </w:rPr>
              <w:t>Avg. Customer Load w/ DR</w:t>
            </w:r>
            <w:r w:rsidR="00833444" w:rsidRPr="001C4623">
              <w:rPr>
                <w:sz w:val="16"/>
                <w:szCs w:val="16"/>
              </w:rPr>
              <w:t xml:space="preserve"> </w:t>
            </w:r>
            <w:r w:rsidRPr="001C4623">
              <w:rPr>
                <w:sz w:val="16"/>
                <w:szCs w:val="16"/>
              </w:rPr>
              <w:t>(kW)</w:t>
            </w:r>
          </w:p>
        </w:tc>
        <w:tc>
          <w:tcPr>
            <w:tcW w:w="944" w:type="dxa"/>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930216" w:rsidRPr="001C4623" w:rsidRDefault="00930216" w:rsidP="001C4623">
            <w:pPr>
              <w:pStyle w:val="TableHeader"/>
              <w:rPr>
                <w:sz w:val="16"/>
                <w:szCs w:val="16"/>
              </w:rPr>
            </w:pPr>
            <w:r w:rsidRPr="001C4623">
              <w:rPr>
                <w:sz w:val="16"/>
                <w:szCs w:val="16"/>
              </w:rPr>
              <w:t>Impact</w:t>
            </w:r>
            <w:r w:rsidR="00833444" w:rsidRPr="001C4623">
              <w:rPr>
                <w:sz w:val="16"/>
                <w:szCs w:val="16"/>
              </w:rPr>
              <w:t xml:space="preserve"> </w:t>
            </w:r>
            <w:r w:rsidRPr="001C4623">
              <w:rPr>
                <w:sz w:val="16"/>
                <w:szCs w:val="16"/>
              </w:rPr>
              <w:t>(kW)</w:t>
            </w:r>
          </w:p>
        </w:tc>
        <w:tc>
          <w:tcPr>
            <w:tcW w:w="944" w:type="dxa"/>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930216" w:rsidRPr="001C4623" w:rsidRDefault="00930216" w:rsidP="001C4623">
            <w:pPr>
              <w:pStyle w:val="TableHeader"/>
              <w:rPr>
                <w:sz w:val="16"/>
                <w:szCs w:val="16"/>
              </w:rPr>
            </w:pPr>
            <w:r w:rsidRPr="001C4623">
              <w:rPr>
                <w:sz w:val="16"/>
                <w:szCs w:val="16"/>
              </w:rPr>
              <w:t>Aggregate Impact</w:t>
            </w:r>
            <w:r w:rsidR="00833444" w:rsidRPr="001C4623">
              <w:rPr>
                <w:sz w:val="16"/>
                <w:szCs w:val="16"/>
              </w:rPr>
              <w:t xml:space="preserve"> </w:t>
            </w:r>
            <w:r w:rsidRPr="001C4623">
              <w:rPr>
                <w:sz w:val="16"/>
                <w:szCs w:val="16"/>
              </w:rPr>
              <w:t>(MW)</w:t>
            </w:r>
          </w:p>
        </w:tc>
        <w:tc>
          <w:tcPr>
            <w:tcW w:w="944" w:type="dxa"/>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930216" w:rsidRPr="001C4623" w:rsidRDefault="00930216" w:rsidP="001C4623">
            <w:pPr>
              <w:pStyle w:val="TableHeader"/>
              <w:rPr>
                <w:sz w:val="16"/>
                <w:szCs w:val="16"/>
              </w:rPr>
            </w:pPr>
            <w:r w:rsidRPr="001C4623">
              <w:rPr>
                <w:sz w:val="16"/>
                <w:szCs w:val="16"/>
              </w:rPr>
              <w:t>Reduction</w:t>
            </w:r>
            <w:r w:rsidR="00833444" w:rsidRPr="001C4623">
              <w:rPr>
                <w:sz w:val="16"/>
                <w:szCs w:val="16"/>
              </w:rPr>
              <w:t xml:space="preserve"> </w:t>
            </w:r>
            <w:r w:rsidRPr="001C4623">
              <w:rPr>
                <w:sz w:val="16"/>
                <w:szCs w:val="16"/>
              </w:rPr>
              <w:t>%</w:t>
            </w:r>
          </w:p>
        </w:tc>
        <w:tc>
          <w:tcPr>
            <w:tcW w:w="944" w:type="dxa"/>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930216" w:rsidRPr="001C4623" w:rsidRDefault="00930216" w:rsidP="001C4623">
            <w:pPr>
              <w:pStyle w:val="TableHeader"/>
              <w:rPr>
                <w:sz w:val="16"/>
                <w:szCs w:val="16"/>
              </w:rPr>
            </w:pPr>
            <w:r w:rsidRPr="001C4623">
              <w:rPr>
                <w:sz w:val="16"/>
                <w:szCs w:val="16"/>
              </w:rPr>
              <w:t>Avg. Temp</w:t>
            </w:r>
            <w:r w:rsidR="00833444" w:rsidRPr="001C4623">
              <w:rPr>
                <w:sz w:val="16"/>
                <w:szCs w:val="16"/>
              </w:rPr>
              <w:t xml:space="preserve"> </w:t>
            </w:r>
            <w:r w:rsidRPr="001C4623">
              <w:rPr>
                <w:sz w:val="16"/>
                <w:szCs w:val="16"/>
              </w:rPr>
              <w:t>°F</w:t>
            </w:r>
          </w:p>
        </w:tc>
        <w:tc>
          <w:tcPr>
            <w:tcW w:w="995" w:type="dxa"/>
            <w:tcBorders>
              <w:top w:val="single" w:sz="4" w:space="0" w:color="auto"/>
              <w:left w:val="single" w:sz="4" w:space="0" w:color="FFFFFF"/>
              <w:bottom w:val="single" w:sz="4" w:space="0" w:color="auto"/>
              <w:right w:val="single" w:sz="4" w:space="0" w:color="auto"/>
            </w:tcBorders>
            <w:shd w:val="clear" w:color="000000" w:fill="1F497D"/>
            <w:tcMar>
              <w:left w:w="29" w:type="dxa"/>
              <w:right w:w="29" w:type="dxa"/>
            </w:tcMar>
            <w:vAlign w:val="center"/>
            <w:hideMark/>
          </w:tcPr>
          <w:p w:rsidR="00930216" w:rsidRPr="001C4623" w:rsidRDefault="00DD775D" w:rsidP="001C4623">
            <w:pPr>
              <w:pStyle w:val="TableHeader"/>
              <w:rPr>
                <w:sz w:val="16"/>
                <w:szCs w:val="16"/>
              </w:rPr>
            </w:pPr>
            <w:r w:rsidRPr="001C4623">
              <w:rPr>
                <w:sz w:val="16"/>
                <w:szCs w:val="16"/>
              </w:rPr>
              <w:t>Stat. S</w:t>
            </w:r>
            <w:r w:rsidR="00930216" w:rsidRPr="001C4623">
              <w:rPr>
                <w:sz w:val="16"/>
                <w:szCs w:val="16"/>
              </w:rPr>
              <w:t>ignificant?</w:t>
            </w:r>
          </w:p>
        </w:tc>
      </w:tr>
      <w:tr w:rsidR="00DD775D" w:rsidRPr="00737157" w:rsidTr="00833444">
        <w:trPr>
          <w:trHeight w:val="399"/>
        </w:trPr>
        <w:tc>
          <w:tcPr>
            <w:tcW w:w="1817"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Over 500</w:t>
            </w:r>
            <w:r w:rsidR="00C82C6B" w:rsidRPr="001C4623">
              <w:rPr>
                <w:sz w:val="16"/>
                <w:szCs w:val="16"/>
              </w:rPr>
              <w:t xml:space="preserve"> </w:t>
            </w:r>
            <w:r w:rsidRPr="001C4623">
              <w:rPr>
                <w:sz w:val="16"/>
                <w:szCs w:val="16"/>
              </w:rPr>
              <w:t>kWh/h</w:t>
            </w:r>
            <w:r w:rsidR="00C82C6B" w:rsidRPr="001C4623">
              <w:rPr>
                <w:sz w:val="16"/>
                <w:szCs w:val="16"/>
              </w:rPr>
              <w:t>r</w:t>
            </w:r>
          </w:p>
        </w:tc>
        <w:tc>
          <w:tcPr>
            <w:tcW w:w="732" w:type="dxa"/>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90</w:t>
            </w:r>
          </w:p>
        </w:tc>
        <w:tc>
          <w:tcPr>
            <w:tcW w:w="1080" w:type="dxa"/>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1,098.8</w:t>
            </w:r>
          </w:p>
        </w:tc>
        <w:tc>
          <w:tcPr>
            <w:tcW w:w="1018" w:type="dxa"/>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998.6</w:t>
            </w:r>
          </w:p>
        </w:tc>
        <w:tc>
          <w:tcPr>
            <w:tcW w:w="944" w:type="dxa"/>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100.2</w:t>
            </w:r>
          </w:p>
        </w:tc>
        <w:tc>
          <w:tcPr>
            <w:tcW w:w="944" w:type="dxa"/>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9.0</w:t>
            </w:r>
          </w:p>
        </w:tc>
        <w:tc>
          <w:tcPr>
            <w:tcW w:w="944" w:type="dxa"/>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9.1%</w:t>
            </w:r>
          </w:p>
        </w:tc>
        <w:tc>
          <w:tcPr>
            <w:tcW w:w="944" w:type="dxa"/>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88.5</w:t>
            </w:r>
          </w:p>
        </w:tc>
        <w:tc>
          <w:tcPr>
            <w:tcW w:w="995" w:type="dxa"/>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Yes</w:t>
            </w:r>
          </w:p>
        </w:tc>
      </w:tr>
      <w:tr w:rsidR="00DD775D" w:rsidRPr="00737157" w:rsidTr="00850108">
        <w:trPr>
          <w:trHeight w:val="399"/>
        </w:trPr>
        <w:tc>
          <w:tcPr>
            <w:tcW w:w="1817"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200</w:t>
            </w:r>
            <w:r w:rsidR="00502446">
              <w:rPr>
                <w:sz w:val="16"/>
                <w:szCs w:val="16"/>
              </w:rPr>
              <w:t>–</w:t>
            </w:r>
            <w:r w:rsidRPr="001C4623">
              <w:rPr>
                <w:sz w:val="16"/>
                <w:szCs w:val="16"/>
              </w:rPr>
              <w:t>500 kWh/h</w:t>
            </w:r>
            <w:r w:rsidR="00C82C6B" w:rsidRPr="001C4623">
              <w:rPr>
                <w:sz w:val="16"/>
                <w:szCs w:val="16"/>
              </w:rPr>
              <w:t>r</w:t>
            </w:r>
          </w:p>
        </w:tc>
        <w:tc>
          <w:tcPr>
            <w:tcW w:w="732"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393</w:t>
            </w:r>
          </w:p>
        </w:tc>
        <w:tc>
          <w:tcPr>
            <w:tcW w:w="1080"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400.7</w:t>
            </w:r>
          </w:p>
        </w:tc>
        <w:tc>
          <w:tcPr>
            <w:tcW w:w="101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365.7</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35.0</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13.7</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8.7%</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86.9</w:t>
            </w:r>
          </w:p>
        </w:tc>
        <w:tc>
          <w:tcPr>
            <w:tcW w:w="9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Yes</w:t>
            </w:r>
          </w:p>
        </w:tc>
      </w:tr>
      <w:tr w:rsidR="00DD775D" w:rsidRPr="00737157" w:rsidTr="00850108">
        <w:trPr>
          <w:trHeight w:val="399"/>
        </w:trPr>
        <w:tc>
          <w:tcPr>
            <w:tcW w:w="1817"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100</w:t>
            </w:r>
            <w:r w:rsidR="00502446">
              <w:rPr>
                <w:sz w:val="16"/>
                <w:szCs w:val="16"/>
              </w:rPr>
              <w:t>–</w:t>
            </w:r>
            <w:r w:rsidRPr="001C4623">
              <w:rPr>
                <w:sz w:val="16"/>
                <w:szCs w:val="16"/>
              </w:rPr>
              <w:t>200 kWh/h</w:t>
            </w:r>
            <w:r w:rsidR="00C82C6B" w:rsidRPr="001C4623">
              <w:rPr>
                <w:sz w:val="16"/>
                <w:szCs w:val="16"/>
              </w:rPr>
              <w:t>r</w:t>
            </w:r>
          </w:p>
        </w:tc>
        <w:tc>
          <w:tcPr>
            <w:tcW w:w="732"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796</w:t>
            </w:r>
          </w:p>
        </w:tc>
        <w:tc>
          <w:tcPr>
            <w:tcW w:w="1080"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207.9</w:t>
            </w:r>
          </w:p>
        </w:tc>
        <w:tc>
          <w:tcPr>
            <w:tcW w:w="101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198.0</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9.9</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7.9</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4.8%</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86.8</w:t>
            </w:r>
          </w:p>
        </w:tc>
        <w:tc>
          <w:tcPr>
            <w:tcW w:w="9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Yes</w:t>
            </w:r>
          </w:p>
        </w:tc>
      </w:tr>
      <w:tr w:rsidR="00DD775D" w:rsidRPr="00737157" w:rsidTr="00850108">
        <w:trPr>
          <w:trHeight w:val="399"/>
        </w:trPr>
        <w:tc>
          <w:tcPr>
            <w:tcW w:w="1817"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50</w:t>
            </w:r>
            <w:r w:rsidR="00502446">
              <w:rPr>
                <w:sz w:val="16"/>
                <w:szCs w:val="16"/>
              </w:rPr>
              <w:t>–</w:t>
            </w:r>
            <w:r w:rsidRPr="001C4623">
              <w:rPr>
                <w:sz w:val="16"/>
                <w:szCs w:val="16"/>
              </w:rPr>
              <w:t>100 kWh/h</w:t>
            </w:r>
            <w:r w:rsidR="00C82C6B" w:rsidRPr="001C4623">
              <w:rPr>
                <w:sz w:val="16"/>
                <w:szCs w:val="16"/>
              </w:rPr>
              <w:t>r</w:t>
            </w:r>
          </w:p>
        </w:tc>
        <w:tc>
          <w:tcPr>
            <w:tcW w:w="732"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735</w:t>
            </w:r>
          </w:p>
        </w:tc>
        <w:tc>
          <w:tcPr>
            <w:tcW w:w="1080"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126.3</w:t>
            </w:r>
          </w:p>
        </w:tc>
        <w:tc>
          <w:tcPr>
            <w:tcW w:w="101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122.8</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3.5</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2.6</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2.8%</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87.5</w:t>
            </w:r>
          </w:p>
        </w:tc>
        <w:tc>
          <w:tcPr>
            <w:tcW w:w="9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Yes</w:t>
            </w:r>
          </w:p>
        </w:tc>
      </w:tr>
      <w:tr w:rsidR="00DD775D" w:rsidRPr="00737157" w:rsidTr="00850108">
        <w:trPr>
          <w:trHeight w:val="399"/>
        </w:trPr>
        <w:tc>
          <w:tcPr>
            <w:tcW w:w="1817"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Under 50 kWh/h</w:t>
            </w:r>
            <w:r w:rsidR="00C82C6B" w:rsidRPr="001C4623">
              <w:rPr>
                <w:sz w:val="16"/>
                <w:szCs w:val="16"/>
              </w:rPr>
              <w:t>r</w:t>
            </w:r>
          </w:p>
        </w:tc>
        <w:tc>
          <w:tcPr>
            <w:tcW w:w="732"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354</w:t>
            </w:r>
          </w:p>
        </w:tc>
        <w:tc>
          <w:tcPr>
            <w:tcW w:w="1080"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51.3</w:t>
            </w:r>
          </w:p>
        </w:tc>
        <w:tc>
          <w:tcPr>
            <w:tcW w:w="101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50.6</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0.7</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0.3</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1.4%</w:t>
            </w:r>
          </w:p>
        </w:tc>
        <w:tc>
          <w:tcPr>
            <w:tcW w:w="94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88.5</w:t>
            </w:r>
          </w:p>
        </w:tc>
        <w:tc>
          <w:tcPr>
            <w:tcW w:w="9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D775D" w:rsidRPr="001C4623" w:rsidRDefault="00DD775D" w:rsidP="001C4623">
            <w:pPr>
              <w:pStyle w:val="TableText"/>
              <w:rPr>
                <w:sz w:val="16"/>
                <w:szCs w:val="16"/>
              </w:rPr>
            </w:pPr>
            <w:r w:rsidRPr="001C4623">
              <w:rPr>
                <w:sz w:val="16"/>
                <w:szCs w:val="16"/>
              </w:rPr>
              <w:t>No</w:t>
            </w:r>
          </w:p>
        </w:tc>
      </w:tr>
    </w:tbl>
    <w:p w:rsidR="00DF06D5" w:rsidRDefault="00DF06D5" w:rsidP="00833444">
      <w:pPr>
        <w:pStyle w:val="BodyParaAfterTableFigure"/>
      </w:pPr>
      <w:r>
        <w:t xml:space="preserve">Customers with average hourly usage exceeding 500 </w:t>
      </w:r>
      <w:r w:rsidR="00C82C6B">
        <w:t>kWh/hr</w:t>
      </w:r>
      <w:r>
        <w:t xml:space="preserve"> accounted for less than 4% of enrollment but</w:t>
      </w:r>
      <w:r w:rsidR="00C42F86">
        <w:t> </w:t>
      </w:r>
      <w:r>
        <w:t xml:space="preserve">delivered 27% of </w:t>
      </w:r>
      <w:r w:rsidR="00324B30">
        <w:t>aggregate</w:t>
      </w:r>
      <w:r>
        <w:t xml:space="preserve"> demand reduction across 2012 events.  They reduced their</w:t>
      </w:r>
      <w:r w:rsidR="005D51F9">
        <w:t> </w:t>
      </w:r>
      <w:r>
        <w:t>demand by 9.1%.  Small customers (below 100</w:t>
      </w:r>
      <w:r w:rsidR="00C82C6B">
        <w:t xml:space="preserve"> kWh/hr</w:t>
      </w:r>
      <w:r>
        <w:t>), on the other hand, provide</w:t>
      </w:r>
      <w:r w:rsidR="00324B30">
        <w:t>d</w:t>
      </w:r>
      <w:r>
        <w:t xml:space="preserve"> little or no demand response.  Th</w:t>
      </w:r>
      <w:r w:rsidR="00324B30">
        <w:t>is group</w:t>
      </w:r>
      <w:r>
        <w:t xml:space="preserve"> make</w:t>
      </w:r>
      <w:r w:rsidR="00324B30">
        <w:t>s</w:t>
      </w:r>
      <w:r>
        <w:t xml:space="preserve"> up 45% of </w:t>
      </w:r>
      <w:r w:rsidR="00324B30">
        <w:t>program</w:t>
      </w:r>
      <w:r>
        <w:t xml:space="preserve"> enrollment and 21% of </w:t>
      </w:r>
      <w:r w:rsidR="00324B30">
        <w:t>aggregate</w:t>
      </w:r>
      <w:r>
        <w:t xml:space="preserve"> load, but </w:t>
      </w:r>
      <w:r>
        <w:lastRenderedPageBreak/>
        <w:t>deliver</w:t>
      </w:r>
      <w:r w:rsidR="00324B30">
        <w:t>s only</w:t>
      </w:r>
      <w:r>
        <w:t xml:space="preserve"> 8.5% of </w:t>
      </w:r>
      <w:r w:rsidR="00324B30">
        <w:t>aggregate load reduction</w:t>
      </w:r>
      <w:r>
        <w:t>.  The estimated impacts for customers in the smallest size category – those with average usage below 50</w:t>
      </w:r>
      <w:r w:rsidR="00324B30">
        <w:t xml:space="preserve"> </w:t>
      </w:r>
      <w:r>
        <w:t>kW</w:t>
      </w:r>
      <w:r w:rsidR="00324B30">
        <w:t>h/h</w:t>
      </w:r>
      <w:r>
        <w:t xml:space="preserve"> –</w:t>
      </w:r>
      <w:r w:rsidR="00C42F86">
        <w:t xml:space="preserve"> </w:t>
      </w:r>
      <w:r>
        <w:t xml:space="preserve">are not statistically significant.  </w:t>
      </w:r>
    </w:p>
    <w:p w:rsidR="00DF06D5" w:rsidRPr="00833444" w:rsidRDefault="00DF06D5" w:rsidP="00833444">
      <w:pPr>
        <w:pStyle w:val="TableFigureCaption"/>
      </w:pPr>
      <w:r w:rsidRPr="00833444">
        <w:t>Figure 5-</w:t>
      </w:r>
      <w:r w:rsidR="001D1B5A">
        <w:t>4</w:t>
      </w:r>
      <w:r w:rsidRPr="00833444">
        <w:t xml:space="preserve">: Program Concentration </w:t>
      </w:r>
      <w:r w:rsidR="0001163F" w:rsidRPr="00833444">
        <w:t>across</w:t>
      </w:r>
      <w:r w:rsidRPr="00833444">
        <w:t xml:space="preserve"> Customer Size Categories</w:t>
      </w:r>
      <w:r w:rsidR="00833444" w:rsidRPr="00833444">
        <w:br/>
      </w:r>
      <w:r w:rsidRPr="00833444">
        <w:t>Average 2012 SCE CPP Event (2</w:t>
      </w:r>
      <w:r w:rsidR="00502446">
        <w:t>–</w:t>
      </w:r>
      <w:r w:rsidRPr="00833444">
        <w:t>6 PM)</w:t>
      </w:r>
    </w:p>
    <w:p w:rsidR="00DF06D5" w:rsidRDefault="00DF06D5" w:rsidP="00DF06D5">
      <w:pPr>
        <w:pStyle w:val="BodyParagraph"/>
      </w:pPr>
      <w:r w:rsidRPr="00C16BC6">
        <w:rPr>
          <w:noProof/>
        </w:rPr>
        <w:drawing>
          <wp:inline distT="0" distB="0" distL="0" distR="0" wp14:anchorId="4914720F" wp14:editId="30688ED4">
            <wp:extent cx="5943600" cy="3439637"/>
            <wp:effectExtent l="19050" t="0" r="0" b="0"/>
            <wp:docPr id="2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srcRect/>
                    <a:stretch>
                      <a:fillRect/>
                    </a:stretch>
                  </pic:blipFill>
                  <pic:spPr bwMode="auto">
                    <a:xfrm>
                      <a:off x="0" y="0"/>
                      <a:ext cx="5943600" cy="3439637"/>
                    </a:xfrm>
                    <a:prstGeom prst="rect">
                      <a:avLst/>
                    </a:prstGeom>
                    <a:noFill/>
                    <a:ln w="9525">
                      <a:noFill/>
                      <a:miter lim="800000"/>
                      <a:headEnd/>
                      <a:tailEnd/>
                    </a:ln>
                  </pic:spPr>
                </pic:pic>
              </a:graphicData>
            </a:graphic>
          </wp:inline>
        </w:drawing>
      </w:r>
    </w:p>
    <w:p w:rsidR="00DF06D5" w:rsidRDefault="00DF06D5" w:rsidP="00833444">
      <w:pPr>
        <w:pStyle w:val="Heading2"/>
        <w:spacing w:before="360"/>
      </w:pPr>
      <w:bookmarkStart w:id="117" w:name="_Toc326072118"/>
      <w:bookmarkStart w:id="118" w:name="_Toc352323642"/>
      <w:r>
        <w:t xml:space="preserve">Load </w:t>
      </w:r>
      <w:r w:rsidRPr="00833444">
        <w:t>Impacts</w:t>
      </w:r>
      <w:r>
        <w:t xml:space="preserve"> for Multi-DR P</w:t>
      </w:r>
      <w:r>
        <w:rPr>
          <w:rFonts w:hint="eastAsia"/>
        </w:rPr>
        <w:t>rogra</w:t>
      </w:r>
      <w:r>
        <w:t>m Participants</w:t>
      </w:r>
      <w:bookmarkEnd w:id="117"/>
      <w:bookmarkEnd w:id="118"/>
    </w:p>
    <w:p w:rsidR="00DF06D5" w:rsidRDefault="00DF06D5" w:rsidP="00DF06D5">
      <w:pPr>
        <w:pStyle w:val="BodyParagraph"/>
      </w:pPr>
      <w:r>
        <w:t>At SCE, CPP customers can also enroll in several other DR programs, including the Baseline Interruptible Program, Demand Response Resource Contracts (DRRC) and the Capacity Bidding Program</w:t>
      </w:r>
      <w:r w:rsidR="00C005B6">
        <w:t xml:space="preserve"> (CBP)</w:t>
      </w:r>
      <w:r>
        <w:t>.  In 2011, dually enrolled customers accounted for 11% of program impacts.  In 2012, they accounted for a third of program impacts.</w:t>
      </w:r>
      <w:r w:rsidR="005727CF">
        <w:t xml:space="preserve">  The dramatic increase in dually enrolled load impacts is due, in part, to customers who were prev</w:t>
      </w:r>
      <w:r>
        <w:t xml:space="preserve">iously </w:t>
      </w:r>
      <w:r w:rsidR="005727CF">
        <w:t xml:space="preserve">only </w:t>
      </w:r>
      <w:r>
        <w:t xml:space="preserve">enrolled on CPP </w:t>
      </w:r>
      <w:r w:rsidR="00420413">
        <w:t>and dually enrolled in aggregator programs (DRRC or CBP) in 2012</w:t>
      </w:r>
      <w:r>
        <w:t>.</w:t>
      </w:r>
      <w:r w:rsidR="00420413">
        <w:t xml:space="preserve">  There were also many new dually enrolled CPP customers who were</w:t>
      </w:r>
      <w:r>
        <w:t xml:space="preserve"> </w:t>
      </w:r>
      <w:r w:rsidR="00420413">
        <w:t>not only new to aggregator programs in 2012 but also new to CPP.</w:t>
      </w:r>
    </w:p>
    <w:p w:rsidR="00DF06D5" w:rsidRDefault="00DF06D5" w:rsidP="00DF06D5">
      <w:pPr>
        <w:pStyle w:val="BodyParagraph"/>
      </w:pPr>
      <w:r w:rsidRPr="00057782">
        <w:t xml:space="preserve">In 2012, nearly 150 </w:t>
      </w:r>
      <w:r w:rsidR="00420413" w:rsidRPr="00057782">
        <w:t xml:space="preserve">accounts </w:t>
      </w:r>
      <w:r w:rsidRPr="002B5AC6">
        <w:t>were dually enrolled in one of two DR programs: BIP and DRRC</w:t>
      </w:r>
      <w:r>
        <w:t>.  Dual enrollment in BIP grew from 19 to 31 customers from 2011 to 2012.  Dual enrollment in aggregator programs grew from 39 to 118 customers from 2011 to 2012.</w:t>
      </w:r>
      <w:r w:rsidR="00C005B6">
        <w:t xml:space="preserve">  </w:t>
      </w:r>
      <w:r w:rsidR="00E60837">
        <w:t>Load impacts from these dually enrolled customers grew commensurately in 2012: dual enrollment load impacts comprised 1</w:t>
      </w:r>
      <w:r w:rsidR="00C005B6">
        <w:t>1% of total CPP impacts in 2011</w:t>
      </w:r>
      <w:r w:rsidR="00E60837">
        <w:t xml:space="preserve"> and have increased to 33% of CPP load impacts in 2012.</w:t>
      </w:r>
      <w:r>
        <w:t xml:space="preserve"> Table 5-5 shows the estimated load impacts for dual participation customers in SCE’s CPP and DR programs.</w:t>
      </w:r>
      <w:r w:rsidR="00C005B6">
        <w:t xml:space="preserve">  C</w:t>
      </w:r>
      <w:r>
        <w:t>ustomer</w:t>
      </w:r>
      <w:r w:rsidR="00D82A10">
        <w:t>s who</w:t>
      </w:r>
      <w:r>
        <w:t xml:space="preserve"> enrolled in other programs deliver substantially larger percent demand reductions.  Customers dually enrolled in BIP reduce</w:t>
      </w:r>
      <w:r w:rsidR="00C005B6">
        <w:t>d</w:t>
      </w:r>
      <w:r>
        <w:t xml:space="preserve"> demand by 42% during CPP events; customers dually enrolled in aggregator programs reduce</w:t>
      </w:r>
      <w:r w:rsidR="00C005B6">
        <w:t>d</w:t>
      </w:r>
      <w:r>
        <w:t xml:space="preserve"> loads by 18%.  These differences should not be interpreted as implying that dual participation increases performance.  Customers who are highly responsive may self-select into other DR programs.  </w:t>
      </w:r>
      <w:r w:rsidR="00230675" w:rsidRPr="00726D5E">
        <w:t>It is also quite plausible that aggregator</w:t>
      </w:r>
      <w:r w:rsidR="00726D5E" w:rsidRPr="00726D5E">
        <w:t>s</w:t>
      </w:r>
      <w:r w:rsidR="00230675" w:rsidRPr="00726D5E">
        <w:t xml:space="preserve"> target customers in </w:t>
      </w:r>
      <w:r w:rsidR="00230675" w:rsidRPr="00726D5E">
        <w:lastRenderedPageBreak/>
        <w:t>industries that can deliver larger reductions.</w:t>
      </w:r>
      <w:r w:rsidR="00C005B6">
        <w:t xml:space="preserve">  </w:t>
      </w:r>
      <w:r>
        <w:t>The higher percent demand reductions could also be due</w:t>
      </w:r>
      <w:r w:rsidR="005D51F9">
        <w:t> </w:t>
      </w:r>
      <w:r>
        <w:t>to BIP program administrators and/or aggregator</w:t>
      </w:r>
      <w:r w:rsidR="00D82A10">
        <w:t>s</w:t>
      </w:r>
      <w:r>
        <w:t xml:space="preserve"> helping customers identify how to reduce their demand during</w:t>
      </w:r>
      <w:r w:rsidR="00D82A10">
        <w:t> </w:t>
      </w:r>
      <w:r>
        <w:t xml:space="preserve">events. </w:t>
      </w:r>
    </w:p>
    <w:p w:rsidR="00DF06D5" w:rsidRPr="00833444" w:rsidRDefault="00DF06D5" w:rsidP="00833444">
      <w:pPr>
        <w:pStyle w:val="TableFigureCaption"/>
      </w:pPr>
      <w:r w:rsidRPr="00833444">
        <w:t>Table 5-5: Estimated Ex Post Load Impacts of Multi-DR Participants</w:t>
      </w:r>
      <w:r w:rsidRPr="00833444">
        <w:br/>
        <w:t>Average 2012 SCE CPP Event</w:t>
      </w:r>
    </w:p>
    <w:tbl>
      <w:tblPr>
        <w:tblW w:w="5032" w:type="pct"/>
        <w:tblLook w:val="04A0" w:firstRow="1" w:lastRow="0" w:firstColumn="1" w:lastColumn="0" w:noHBand="0" w:noVBand="1"/>
      </w:tblPr>
      <w:tblGrid>
        <w:gridCol w:w="2447"/>
        <w:gridCol w:w="722"/>
        <w:gridCol w:w="1051"/>
        <w:gridCol w:w="888"/>
        <w:gridCol w:w="797"/>
        <w:gridCol w:w="968"/>
        <w:gridCol w:w="841"/>
        <w:gridCol w:w="790"/>
        <w:gridCol w:w="974"/>
      </w:tblGrid>
      <w:tr w:rsidR="00833444" w:rsidRPr="00DB7904" w:rsidTr="00833444">
        <w:trPr>
          <w:trHeight w:val="764"/>
        </w:trPr>
        <w:tc>
          <w:tcPr>
            <w:tcW w:w="1298" w:type="pct"/>
            <w:tcBorders>
              <w:top w:val="single" w:sz="4" w:space="0" w:color="auto"/>
              <w:left w:val="single" w:sz="4" w:space="0" w:color="auto"/>
              <w:bottom w:val="single" w:sz="4" w:space="0" w:color="000000"/>
              <w:right w:val="single" w:sz="4" w:space="0" w:color="FFFFFF"/>
            </w:tcBorders>
            <w:shd w:val="clear" w:color="000000" w:fill="1F497D"/>
            <w:tcMar>
              <w:left w:w="29" w:type="dxa"/>
              <w:right w:w="29" w:type="dxa"/>
            </w:tcMar>
            <w:vAlign w:val="center"/>
            <w:hideMark/>
          </w:tcPr>
          <w:p w:rsidR="00833444" w:rsidRPr="00833444" w:rsidRDefault="00833444" w:rsidP="00833444">
            <w:pPr>
              <w:pStyle w:val="TableHeader"/>
              <w:rPr>
                <w:sz w:val="16"/>
                <w:szCs w:val="16"/>
              </w:rPr>
            </w:pPr>
            <w:r w:rsidRPr="00833444">
              <w:rPr>
                <w:sz w:val="16"/>
                <w:szCs w:val="16"/>
              </w:rPr>
              <w:t>Dual Enrollment</w:t>
            </w:r>
          </w:p>
        </w:tc>
        <w:tc>
          <w:tcPr>
            <w:tcW w:w="388" w:type="pct"/>
            <w:tcBorders>
              <w:top w:val="single" w:sz="4" w:space="0" w:color="auto"/>
              <w:left w:val="single" w:sz="4" w:space="0" w:color="FFFFFF"/>
              <w:bottom w:val="single" w:sz="4" w:space="0" w:color="000000"/>
              <w:right w:val="single" w:sz="4" w:space="0" w:color="FFFFFF"/>
            </w:tcBorders>
            <w:shd w:val="clear" w:color="000000" w:fill="1F497D"/>
            <w:tcMar>
              <w:left w:w="29" w:type="dxa"/>
              <w:right w:w="29" w:type="dxa"/>
            </w:tcMar>
            <w:vAlign w:val="center"/>
            <w:hideMark/>
          </w:tcPr>
          <w:p w:rsidR="00833444" w:rsidRPr="00833444" w:rsidRDefault="00833444" w:rsidP="00833444">
            <w:pPr>
              <w:pStyle w:val="TableHeader"/>
              <w:rPr>
                <w:sz w:val="16"/>
                <w:szCs w:val="16"/>
              </w:rPr>
            </w:pPr>
            <w:r w:rsidRPr="00833444">
              <w:rPr>
                <w:sz w:val="16"/>
                <w:szCs w:val="16"/>
              </w:rPr>
              <w:t>Accts</w:t>
            </w:r>
          </w:p>
        </w:tc>
        <w:tc>
          <w:tcPr>
            <w:tcW w:w="561" w:type="pct"/>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833444" w:rsidRPr="00833444" w:rsidRDefault="00833444" w:rsidP="00833444">
            <w:pPr>
              <w:pStyle w:val="TableHeader"/>
              <w:rPr>
                <w:sz w:val="16"/>
                <w:szCs w:val="16"/>
              </w:rPr>
            </w:pPr>
            <w:r w:rsidRPr="00833444">
              <w:rPr>
                <w:sz w:val="16"/>
                <w:szCs w:val="16"/>
              </w:rPr>
              <w:t>Avg. Customer Reference Load (kW)</w:t>
            </w:r>
          </w:p>
        </w:tc>
        <w:tc>
          <w:tcPr>
            <w:tcW w:w="475" w:type="pct"/>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833444" w:rsidRPr="00833444" w:rsidRDefault="00833444" w:rsidP="00833444">
            <w:pPr>
              <w:pStyle w:val="TableHeader"/>
              <w:rPr>
                <w:sz w:val="16"/>
                <w:szCs w:val="16"/>
              </w:rPr>
            </w:pPr>
            <w:r w:rsidRPr="00833444">
              <w:rPr>
                <w:sz w:val="16"/>
                <w:szCs w:val="16"/>
              </w:rPr>
              <w:t>Avg. Customer Load w/ DR (kW)</w:t>
            </w:r>
          </w:p>
        </w:tc>
        <w:tc>
          <w:tcPr>
            <w:tcW w:w="427" w:type="pct"/>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833444" w:rsidRPr="00833444" w:rsidRDefault="00833444" w:rsidP="00833444">
            <w:pPr>
              <w:pStyle w:val="TableHeader"/>
              <w:rPr>
                <w:sz w:val="16"/>
                <w:szCs w:val="16"/>
              </w:rPr>
            </w:pPr>
            <w:r w:rsidRPr="00833444">
              <w:rPr>
                <w:sz w:val="16"/>
                <w:szCs w:val="16"/>
              </w:rPr>
              <w:t>Impact (kW)</w:t>
            </w:r>
          </w:p>
        </w:tc>
        <w:tc>
          <w:tcPr>
            <w:tcW w:w="517" w:type="pct"/>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833444" w:rsidRPr="00833444" w:rsidRDefault="00833444" w:rsidP="00833444">
            <w:pPr>
              <w:pStyle w:val="TableHeader"/>
              <w:rPr>
                <w:sz w:val="16"/>
                <w:szCs w:val="16"/>
              </w:rPr>
            </w:pPr>
            <w:r w:rsidRPr="00833444">
              <w:rPr>
                <w:sz w:val="16"/>
                <w:szCs w:val="16"/>
              </w:rPr>
              <w:t>Aggregate Impact (MW)</w:t>
            </w:r>
          </w:p>
        </w:tc>
        <w:tc>
          <w:tcPr>
            <w:tcW w:w="432" w:type="pct"/>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833444" w:rsidRPr="00833444" w:rsidRDefault="00833444" w:rsidP="00833444">
            <w:pPr>
              <w:pStyle w:val="TableHeader"/>
              <w:rPr>
                <w:sz w:val="16"/>
                <w:szCs w:val="16"/>
              </w:rPr>
            </w:pPr>
            <w:r w:rsidRPr="00833444">
              <w:rPr>
                <w:sz w:val="16"/>
                <w:szCs w:val="16"/>
              </w:rPr>
              <w:t>Reduction %</w:t>
            </w:r>
          </w:p>
        </w:tc>
        <w:tc>
          <w:tcPr>
            <w:tcW w:w="423" w:type="pct"/>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833444" w:rsidRPr="00833444" w:rsidRDefault="00833444" w:rsidP="00833444">
            <w:pPr>
              <w:pStyle w:val="TableHeader"/>
              <w:rPr>
                <w:sz w:val="16"/>
                <w:szCs w:val="16"/>
              </w:rPr>
            </w:pPr>
            <w:r w:rsidRPr="00833444">
              <w:rPr>
                <w:sz w:val="16"/>
                <w:szCs w:val="16"/>
              </w:rPr>
              <w:t>Event Avg. Temp °F</w:t>
            </w:r>
          </w:p>
        </w:tc>
        <w:tc>
          <w:tcPr>
            <w:tcW w:w="479" w:type="pct"/>
            <w:tcBorders>
              <w:top w:val="single" w:sz="4" w:space="0" w:color="auto"/>
              <w:left w:val="single" w:sz="4" w:space="0" w:color="FFFFFF"/>
              <w:bottom w:val="single" w:sz="4" w:space="0" w:color="auto"/>
              <w:right w:val="single" w:sz="4" w:space="0" w:color="auto"/>
            </w:tcBorders>
            <w:shd w:val="clear" w:color="000000" w:fill="1F497D"/>
            <w:tcMar>
              <w:left w:w="29" w:type="dxa"/>
              <w:right w:w="29" w:type="dxa"/>
            </w:tcMar>
            <w:vAlign w:val="center"/>
            <w:hideMark/>
          </w:tcPr>
          <w:p w:rsidR="00833444" w:rsidRPr="00833444" w:rsidRDefault="00833444" w:rsidP="00833444">
            <w:pPr>
              <w:pStyle w:val="TableHeader"/>
              <w:rPr>
                <w:sz w:val="16"/>
                <w:szCs w:val="16"/>
              </w:rPr>
            </w:pPr>
            <w:r w:rsidRPr="00833444">
              <w:rPr>
                <w:sz w:val="16"/>
                <w:szCs w:val="16"/>
              </w:rPr>
              <w:t xml:space="preserve">Stat. </w:t>
            </w:r>
            <w:r>
              <w:rPr>
                <w:sz w:val="16"/>
                <w:szCs w:val="16"/>
              </w:rPr>
              <w:t>S</w:t>
            </w:r>
            <w:r w:rsidRPr="00833444">
              <w:rPr>
                <w:sz w:val="16"/>
                <w:szCs w:val="16"/>
              </w:rPr>
              <w:t>ignificant?</w:t>
            </w:r>
          </w:p>
        </w:tc>
      </w:tr>
      <w:tr w:rsidR="00833444" w:rsidRPr="00DB7904" w:rsidTr="00833444">
        <w:trPr>
          <w:trHeight w:val="399"/>
        </w:trPr>
        <w:tc>
          <w:tcPr>
            <w:tcW w:w="1298" w:type="pct"/>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Baseline Interruptible Program</w:t>
            </w:r>
          </w:p>
        </w:tc>
        <w:tc>
          <w:tcPr>
            <w:tcW w:w="38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31</w:t>
            </w:r>
          </w:p>
        </w:tc>
        <w:tc>
          <w:tcPr>
            <w:tcW w:w="561"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248.2</w:t>
            </w:r>
          </w:p>
        </w:tc>
        <w:tc>
          <w:tcPr>
            <w:tcW w:w="475"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144.8</w:t>
            </w:r>
          </w:p>
        </w:tc>
        <w:tc>
          <w:tcPr>
            <w:tcW w:w="427"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103.4</w:t>
            </w:r>
          </w:p>
        </w:tc>
        <w:tc>
          <w:tcPr>
            <w:tcW w:w="517"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3.2</w:t>
            </w:r>
          </w:p>
        </w:tc>
        <w:tc>
          <w:tcPr>
            <w:tcW w:w="432"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41.7%</w:t>
            </w:r>
          </w:p>
        </w:tc>
        <w:tc>
          <w:tcPr>
            <w:tcW w:w="423"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87.5</w:t>
            </w:r>
          </w:p>
        </w:tc>
        <w:tc>
          <w:tcPr>
            <w:tcW w:w="479"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Yes</w:t>
            </w:r>
          </w:p>
        </w:tc>
      </w:tr>
      <w:tr w:rsidR="00833444" w:rsidRPr="00DB7904" w:rsidTr="00850108">
        <w:trPr>
          <w:trHeight w:val="399"/>
        </w:trPr>
        <w:tc>
          <w:tcPr>
            <w:tcW w:w="1298" w:type="pct"/>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Aggregator Contracts (DRRC)</w:t>
            </w:r>
          </w:p>
        </w:tc>
        <w:tc>
          <w:tcPr>
            <w:tcW w:w="38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118</w:t>
            </w:r>
          </w:p>
        </w:tc>
        <w:tc>
          <w:tcPr>
            <w:tcW w:w="56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348.8</w:t>
            </w:r>
          </w:p>
        </w:tc>
        <w:tc>
          <w:tcPr>
            <w:tcW w:w="47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285.1</w:t>
            </w:r>
          </w:p>
        </w:tc>
        <w:tc>
          <w:tcPr>
            <w:tcW w:w="427"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63.7</w:t>
            </w:r>
          </w:p>
        </w:tc>
        <w:tc>
          <w:tcPr>
            <w:tcW w:w="517"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7.5</w:t>
            </w:r>
          </w:p>
        </w:tc>
        <w:tc>
          <w:tcPr>
            <w:tcW w:w="4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18.3%</w:t>
            </w:r>
          </w:p>
        </w:tc>
        <w:tc>
          <w:tcPr>
            <w:tcW w:w="42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90.0</w:t>
            </w:r>
          </w:p>
        </w:tc>
        <w:tc>
          <w:tcPr>
            <w:tcW w:w="479"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Yes</w:t>
            </w:r>
          </w:p>
        </w:tc>
      </w:tr>
      <w:tr w:rsidR="00833444" w:rsidRPr="00DB7904" w:rsidTr="00850108">
        <w:trPr>
          <w:trHeight w:val="399"/>
        </w:trPr>
        <w:tc>
          <w:tcPr>
            <w:tcW w:w="1298" w:type="pct"/>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Not Dually Enrolled</w:t>
            </w:r>
          </w:p>
        </w:tc>
        <w:tc>
          <w:tcPr>
            <w:tcW w:w="38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2,318</w:t>
            </w:r>
          </w:p>
        </w:tc>
        <w:tc>
          <w:tcPr>
            <w:tcW w:w="56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214.6</w:t>
            </w:r>
          </w:p>
        </w:tc>
        <w:tc>
          <w:tcPr>
            <w:tcW w:w="47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205.7</w:t>
            </w:r>
          </w:p>
        </w:tc>
        <w:tc>
          <w:tcPr>
            <w:tcW w:w="427"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8.9</w:t>
            </w:r>
          </w:p>
        </w:tc>
        <w:tc>
          <w:tcPr>
            <w:tcW w:w="517"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20.6</w:t>
            </w:r>
          </w:p>
        </w:tc>
        <w:tc>
          <w:tcPr>
            <w:tcW w:w="4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4.1%</w:t>
            </w:r>
          </w:p>
        </w:tc>
        <w:tc>
          <w:tcPr>
            <w:tcW w:w="423"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87.2</w:t>
            </w:r>
          </w:p>
        </w:tc>
        <w:tc>
          <w:tcPr>
            <w:tcW w:w="479"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DF06D5" w:rsidRPr="00833444" w:rsidRDefault="00DF06D5" w:rsidP="00833444">
            <w:pPr>
              <w:pStyle w:val="TableText"/>
              <w:rPr>
                <w:sz w:val="16"/>
                <w:szCs w:val="16"/>
              </w:rPr>
            </w:pPr>
            <w:r w:rsidRPr="00833444">
              <w:rPr>
                <w:sz w:val="16"/>
                <w:szCs w:val="16"/>
              </w:rPr>
              <w:t>Yes</w:t>
            </w:r>
          </w:p>
        </w:tc>
      </w:tr>
    </w:tbl>
    <w:p w:rsidR="00DF06D5" w:rsidRDefault="000921FA" w:rsidP="00833444">
      <w:pPr>
        <w:pStyle w:val="Heading2"/>
        <w:spacing w:before="360"/>
      </w:pPr>
      <w:bookmarkStart w:id="119" w:name="_Toc318473861"/>
      <w:bookmarkStart w:id="120" w:name="_Toc326072119"/>
      <w:bookmarkStart w:id="121" w:name="_Toc352323643"/>
      <w:r>
        <w:t xml:space="preserve">TI and AutoDR </w:t>
      </w:r>
      <w:r w:rsidR="00DF06D5">
        <w:t>Load Impacts and Realization Rates</w:t>
      </w:r>
      <w:bookmarkEnd w:id="119"/>
      <w:bookmarkEnd w:id="120"/>
      <w:bookmarkEnd w:id="121"/>
    </w:p>
    <w:p w:rsidR="00DF06D5" w:rsidRDefault="00DF06D5" w:rsidP="00DF06D5">
      <w:pPr>
        <w:pStyle w:val="BodyParagraph"/>
      </w:pPr>
      <w:r>
        <w:t>CPP customers are eligible to participate in Technical Assistance, Technical Incentives and AutoDR (TA/TI and AutoDR)</w:t>
      </w:r>
      <w:r w:rsidR="00C005B6">
        <w:t xml:space="preserve"> programs</w:t>
      </w:r>
      <w:r>
        <w:t xml:space="preserve">.  These programs involve a multi-step process that begins with technical assistance (TA), which consists of an audit to determine the potential for installing energy saving technology or processes at a particular premise.  A technical incentive (TI) is paid if a customer installs equipment or reconfigures processes and demonstrates that they produce load reductions.  Although the response is automated, customers must still decide whether and when to drop load.  AutoDR provides an incremental incentive to encourage customers to allow SCE to remotely dispatch the automated load reduction.  </w:t>
      </w:r>
    </w:p>
    <w:p w:rsidR="00B23ABE" w:rsidRDefault="00DF06D5" w:rsidP="00DF06D5">
      <w:pPr>
        <w:pStyle w:val="BodyParagraph"/>
      </w:pPr>
      <w:r>
        <w:t xml:space="preserve">Historically, most CPP </w:t>
      </w:r>
      <w:r w:rsidR="00D82A10">
        <w:t xml:space="preserve">accounts </w:t>
      </w:r>
      <w:r>
        <w:t>that participated in the enabling technology program complete</w:t>
      </w:r>
      <w:r w:rsidR="00C005B6">
        <w:t>d</w:t>
      </w:r>
      <w:r>
        <w:t xml:space="preserve"> the process and fully automate the demand reduction to utility signals.  However, over time, </w:t>
      </w:r>
      <w:r w:rsidR="00C005B6">
        <w:t xml:space="preserve">many of </w:t>
      </w:r>
      <w:r>
        <w:t xml:space="preserve">these customers have exited the CPP program.  </w:t>
      </w:r>
      <w:r w:rsidR="0001163F">
        <w:t xml:space="preserve">At the start of 2012, three customers enrolled in CPP had AutoDR.  </w:t>
      </w:r>
      <w:r>
        <w:t>By the end of summer</w:t>
      </w:r>
      <w:r w:rsidR="00D82A10">
        <w:t xml:space="preserve"> 2012</w:t>
      </w:r>
      <w:r>
        <w:t>, there were no AutoDR participants enrolled on CPP.  Given the drop in AutoDR enrollments</w:t>
      </w:r>
      <w:r w:rsidR="005D51F9">
        <w:t>,</w:t>
      </w:r>
      <w:r>
        <w:t xml:space="preserve"> AutoDR impacts or realization rates </w:t>
      </w:r>
      <w:r w:rsidR="006722FF">
        <w:t xml:space="preserve">are not reported </w:t>
      </w:r>
      <w:r>
        <w:t xml:space="preserve">for 2012. </w:t>
      </w:r>
    </w:p>
    <w:p w:rsidR="007F5886" w:rsidRPr="00872720" w:rsidRDefault="007F5886" w:rsidP="007F5886">
      <w:pPr>
        <w:pStyle w:val="Heading2"/>
        <w:spacing w:before="360"/>
      </w:pPr>
      <w:bookmarkStart w:id="122" w:name="_Toc352323644"/>
      <w:r w:rsidRPr="00872720">
        <w:t>Default CPP Persistence and Weather Sensitivity</w:t>
      </w:r>
      <w:bookmarkEnd w:id="122"/>
    </w:p>
    <w:p w:rsidR="007F5886" w:rsidRDefault="006722FF" w:rsidP="007F5886">
      <w:pPr>
        <w:pStyle w:val="BodyParagraph"/>
      </w:pPr>
      <w:r>
        <w:t>P</w:t>
      </w:r>
      <w:r w:rsidR="007F5886">
        <w:t xml:space="preserve">ersistence and weather sensitivity of CPP load impacts at SCE </w:t>
      </w:r>
      <w:r>
        <w:t>w</w:t>
      </w:r>
      <w:r w:rsidR="00C005B6">
        <w:t>ere</w:t>
      </w:r>
      <w:r>
        <w:t xml:space="preserve"> </w:t>
      </w:r>
      <w:r w:rsidR="00C005B6">
        <w:t>analyzed</w:t>
      </w:r>
      <w:r>
        <w:t xml:space="preserve"> </w:t>
      </w:r>
      <w:r w:rsidR="00C005B6">
        <w:t xml:space="preserve">using </w:t>
      </w:r>
      <w:r w:rsidR="007F5886">
        <w:t xml:space="preserve">the same analysis approach described in section 4.7.  </w:t>
      </w:r>
      <w:r>
        <w:t xml:space="preserve">Here as well as at PG&amp;E, </w:t>
      </w:r>
      <w:r w:rsidR="007F5886">
        <w:t xml:space="preserve">persistence analysis results must </w:t>
      </w:r>
      <w:r>
        <w:t xml:space="preserve">be </w:t>
      </w:r>
      <w:r w:rsidR="007F5886">
        <w:t>viewed with cautio</w:t>
      </w:r>
      <w:r w:rsidR="00C005B6">
        <w:t>n</w:t>
      </w:r>
      <w:r w:rsidR="007F5886">
        <w:t>: t</w:t>
      </w:r>
      <w:r w:rsidR="007F5886" w:rsidRPr="00872720">
        <w:t>hey reflect the patterns observed for a subset of customers,</w:t>
      </w:r>
      <w:r w:rsidR="007F5886">
        <w:t xml:space="preserve"> not those of the entire program.  </w:t>
      </w:r>
    </w:p>
    <w:p w:rsidR="007F5886" w:rsidRDefault="007F5886" w:rsidP="007F5886">
      <w:pPr>
        <w:pStyle w:val="BodyParagraph"/>
      </w:pPr>
      <w:r>
        <w:t xml:space="preserve">Like PG&amp;E, not all SCE customers on default CPP have a three-year history of CPP participation.  Approximately 2,500 (excluding voluntary SMB enrollment) SCE customers were participating in CPP at the end of 2012, </w:t>
      </w:r>
      <w:r w:rsidR="002A7946">
        <w:t xml:space="preserve">but </w:t>
      </w:r>
      <w:r w:rsidR="00C005B6">
        <w:t xml:space="preserve">only </w:t>
      </w:r>
      <w:r w:rsidR="002A7946">
        <w:t xml:space="preserve">1,630 (65%) </w:t>
      </w:r>
      <w:r w:rsidR="00E3542B">
        <w:t>have three years experience on CPP.  Further, not all these customers could be matched.</w:t>
      </w:r>
    </w:p>
    <w:p w:rsidR="007F5886" w:rsidRPr="00E640AA" w:rsidRDefault="00E3542B" w:rsidP="00E640AA">
      <w:pPr>
        <w:pStyle w:val="TableFigureCaption"/>
      </w:pPr>
      <w:r w:rsidRPr="00E640AA">
        <w:lastRenderedPageBreak/>
        <w:t>F</w:t>
      </w:r>
      <w:r w:rsidR="007F5886" w:rsidRPr="00E640AA">
        <w:t xml:space="preserve">igure </w:t>
      </w:r>
      <w:r w:rsidRPr="00E640AA">
        <w:t>5-5</w:t>
      </w:r>
      <w:r w:rsidR="003F699E">
        <w:t>: SCE CPP Persistence 2010</w:t>
      </w:r>
      <w:r w:rsidR="00502446">
        <w:t>–</w:t>
      </w:r>
      <w:r w:rsidR="003F699E">
        <w:t>2012</w:t>
      </w:r>
    </w:p>
    <w:p w:rsidR="00BE5AA0" w:rsidRDefault="00E3542B">
      <w:pPr>
        <w:pStyle w:val="BodyParagraph"/>
      </w:pPr>
      <w:r>
        <w:rPr>
          <w:noProof/>
        </w:rPr>
        <w:drawing>
          <wp:inline distT="0" distB="0" distL="0" distR="0" wp14:anchorId="363C2BA4" wp14:editId="3D62F723">
            <wp:extent cx="5943600" cy="3239770"/>
            <wp:effectExtent l="0" t="0" r="0" b="0"/>
            <wp:docPr id="36" name="Picture 1" descr="cid:image001.png@01CE1694.A02010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E1694.A02010F0"/>
                    <pic:cNvPicPr>
                      <a:picLocks noChangeAspect="1" noChangeArrowheads="1"/>
                    </pic:cNvPicPr>
                  </pic:nvPicPr>
                  <pic:blipFill>
                    <a:blip r:embed="rId40" r:link="rId41" cstate="print"/>
                    <a:srcRect/>
                    <a:stretch>
                      <a:fillRect/>
                    </a:stretch>
                  </pic:blipFill>
                  <pic:spPr bwMode="auto">
                    <a:xfrm>
                      <a:off x="0" y="0"/>
                      <a:ext cx="5943600" cy="3239770"/>
                    </a:xfrm>
                    <a:prstGeom prst="rect">
                      <a:avLst/>
                    </a:prstGeom>
                    <a:noFill/>
                    <a:ln w="9525">
                      <a:noFill/>
                      <a:miter lim="800000"/>
                      <a:headEnd/>
                      <a:tailEnd/>
                    </a:ln>
                  </pic:spPr>
                </pic:pic>
              </a:graphicData>
            </a:graphic>
          </wp:inline>
        </w:drawing>
      </w:r>
    </w:p>
    <w:p w:rsidR="00E3542B" w:rsidRDefault="00E3542B" w:rsidP="007F5886">
      <w:pPr>
        <w:pStyle w:val="BodyParaAfterTableFigure"/>
      </w:pPr>
      <w:r>
        <w:t>Figure 5-5</w:t>
      </w:r>
      <w:r w:rsidR="007F5886">
        <w:t xml:space="preserve"> presents load impacts for those customers wh</w:t>
      </w:r>
      <w:r>
        <w:t>o experienced all events in 2010</w:t>
      </w:r>
      <w:r w:rsidR="007F5886">
        <w:t xml:space="preserve"> </w:t>
      </w:r>
      <w:r w:rsidR="00C005B6">
        <w:t>through</w:t>
      </w:r>
      <w:r w:rsidR="007F5886">
        <w:t xml:space="preserve"> 2012, </w:t>
      </w:r>
      <w:r w:rsidR="00C005B6">
        <w:t>using</w:t>
      </w:r>
      <w:r w:rsidR="007F5886">
        <w:t xml:space="preserve"> both analysis methods, difference-in-differences and individual customer regressions, plotted as a function of temperature.  </w:t>
      </w:r>
      <w:r>
        <w:t xml:space="preserve">There are many more analysis days available at SCE, 34, than at PG&amp;E, </w:t>
      </w:r>
      <w:r w:rsidR="00C005B6">
        <w:t>but</w:t>
      </w:r>
      <w:r>
        <w:t xml:space="preserve"> the relationship between load impacts and temperature is much noisier for both individual regression modeling and the difference-in-differences panel regression.</w:t>
      </w:r>
      <w:r w:rsidR="00C005B6">
        <w:t xml:space="preserve">  </w:t>
      </w:r>
      <w:r>
        <w:t>This noise, around already small load impacts</w:t>
      </w:r>
      <w:r w:rsidR="00910EB3">
        <w:t>,</w:t>
      </w:r>
      <w:r>
        <w:t xml:space="preserve"> leads to a</w:t>
      </w:r>
      <w:r w:rsidR="009B22A5">
        <w:t xml:space="preserve"> statistically</w:t>
      </w:r>
      <w:r>
        <w:t xml:space="preserve"> insignificant difference in weather trends between these two methods.</w:t>
      </w:r>
    </w:p>
    <w:p w:rsidR="00E3542B" w:rsidRDefault="00E3542B">
      <w:pPr>
        <w:rPr>
          <w:rFonts w:ascii="Verdana" w:hAnsi="Verdana"/>
          <w:sz w:val="18"/>
        </w:rPr>
      </w:pPr>
      <w:r>
        <w:br w:type="page"/>
      </w:r>
    </w:p>
    <w:p w:rsidR="003850B4" w:rsidRDefault="003850B4" w:rsidP="00833444">
      <w:pPr>
        <w:pStyle w:val="Heading1"/>
      </w:pPr>
      <w:bookmarkStart w:id="123" w:name="_Toc351454062"/>
      <w:bookmarkStart w:id="124" w:name="_Toc351455487"/>
      <w:bookmarkStart w:id="125" w:name="_Toc351462745"/>
      <w:bookmarkStart w:id="126" w:name="_Toc351469528"/>
      <w:bookmarkStart w:id="127" w:name="_Toc351480957"/>
      <w:bookmarkStart w:id="128" w:name="_Toc352323645"/>
      <w:bookmarkEnd w:id="123"/>
      <w:bookmarkEnd w:id="124"/>
      <w:bookmarkEnd w:id="125"/>
      <w:bookmarkEnd w:id="126"/>
      <w:bookmarkEnd w:id="127"/>
      <w:r>
        <w:lastRenderedPageBreak/>
        <w:t>SDG&amp;E Ex Post Load Impact</w:t>
      </w:r>
      <w:r w:rsidR="00DA41F5">
        <w:t>s</w:t>
      </w:r>
      <w:bookmarkEnd w:id="128"/>
    </w:p>
    <w:p w:rsidR="003D548A" w:rsidRDefault="00127E49" w:rsidP="00127E49">
      <w:pPr>
        <w:pStyle w:val="BodyParagraph"/>
        <w:rPr>
          <w:rFonts w:eastAsia="Times New Roman" w:cs="Arial"/>
          <w:bCs/>
          <w:szCs w:val="20"/>
        </w:rPr>
      </w:pPr>
      <w:r>
        <w:t>This section summarizes the ex post load impact evaluation for customers on SDG&amp;E’s CPP tariff.  SD</w:t>
      </w:r>
      <w:r w:rsidR="00256196">
        <w:t>G</w:t>
      </w:r>
      <w:r>
        <w:t>&amp;E called seven CPP events in 2012, two of which occurred on Saturdays.  The first event occurred</w:t>
      </w:r>
      <w:r w:rsidR="00612BB8">
        <w:t xml:space="preserve"> on August 9 and the last </w:t>
      </w:r>
      <w:r>
        <w:t>was held on October 2.  On average</w:t>
      </w:r>
      <w:r w:rsidR="007463BB">
        <w:t>,</w:t>
      </w:r>
      <w:r>
        <w:t xml:space="preserve"> there were 1,117 accounts enrolled on SDG&amp;E’s tariff i</w:t>
      </w:r>
      <w:r w:rsidR="003D548A">
        <w:t xml:space="preserve">n 2012.  There was some </w:t>
      </w:r>
      <w:r>
        <w:t>variation in enrollment during the course of the summer</w:t>
      </w:r>
      <w:r w:rsidR="003D548A">
        <w:t xml:space="preserve"> largely due to typical customer churn</w:t>
      </w:r>
      <w:r>
        <w:t>, with the highest enrollment at 1,138 participants and the lowest enrollment at 1,103.</w:t>
      </w:r>
      <w:r w:rsidR="003D548A">
        <w:t xml:space="preserve">  </w:t>
      </w:r>
      <w:r w:rsidR="003D548A">
        <w:rPr>
          <w:rFonts w:eastAsia="Times New Roman" w:cs="Arial"/>
          <w:bCs/>
          <w:szCs w:val="20"/>
        </w:rPr>
        <w:t xml:space="preserve">Unlike at PG&amp;E and SCE, there is no significant voluntary enrollment on the SDG&amp;E CPP rate.  </w:t>
      </w:r>
      <w:r>
        <w:t xml:space="preserve">The participant-weighted average temperature during the event period was </w:t>
      </w:r>
      <w:r w:rsidRPr="00FF5D9A">
        <w:t>80</w:t>
      </w:r>
      <w:r w:rsidRPr="00040C8D">
        <w:rPr>
          <w:rFonts w:eastAsia="Times New Roman" w:cs="Arial"/>
          <w:bCs/>
          <w:szCs w:val="20"/>
        </w:rPr>
        <w:t>°</w:t>
      </w:r>
      <w:r>
        <w:rPr>
          <w:rFonts w:eastAsia="Times New Roman" w:cs="Arial"/>
          <w:bCs/>
          <w:szCs w:val="20"/>
        </w:rPr>
        <w:t>F for the weekday events and 87</w:t>
      </w:r>
      <w:r w:rsidRPr="00040C8D">
        <w:rPr>
          <w:rFonts w:eastAsia="Times New Roman" w:cs="Arial"/>
          <w:bCs/>
          <w:szCs w:val="20"/>
        </w:rPr>
        <w:t>°</w:t>
      </w:r>
      <w:r w:rsidR="00612BB8">
        <w:rPr>
          <w:rFonts w:eastAsia="Times New Roman" w:cs="Arial"/>
          <w:bCs/>
          <w:szCs w:val="20"/>
        </w:rPr>
        <w:t>F for the weekend</w:t>
      </w:r>
      <w:r>
        <w:rPr>
          <w:rFonts w:eastAsia="Times New Roman" w:cs="Arial"/>
          <w:bCs/>
          <w:szCs w:val="20"/>
        </w:rPr>
        <w:t xml:space="preserve"> event. </w:t>
      </w:r>
    </w:p>
    <w:p w:rsidR="00127E49" w:rsidRDefault="00256196" w:rsidP="00127E49">
      <w:pPr>
        <w:pStyle w:val="BodyParagraph"/>
      </w:pPr>
      <w:r>
        <w:t>Table 6</w:t>
      </w:r>
      <w:r w:rsidR="00127E49">
        <w:t>-1 shows the estimated ex post load impacts</w:t>
      </w:r>
      <w:r w:rsidR="003D548A">
        <w:t xml:space="preserve"> for each event day and for </w:t>
      </w:r>
      <w:r w:rsidR="00127E49">
        <w:t xml:space="preserve">average </w:t>
      </w:r>
      <w:r w:rsidR="003D548A">
        <w:t>weekday and</w:t>
      </w:r>
      <w:r w:rsidR="005D51F9">
        <w:t> </w:t>
      </w:r>
      <w:r w:rsidR="003D548A">
        <w:t xml:space="preserve">weekend </w:t>
      </w:r>
      <w:r w:rsidR="00127E49">
        <w:t>event</w:t>
      </w:r>
      <w:r w:rsidR="00612BB8">
        <w:t>s</w:t>
      </w:r>
      <w:r w:rsidR="00127E49">
        <w:t xml:space="preserve"> in 2012.  The participant-weighted average temperature</w:t>
      </w:r>
      <w:r w:rsidR="00612BB8">
        <w:t xml:space="preserve"> during the event period </w:t>
      </w:r>
      <w:r w:rsidR="009C55F2">
        <w:t>ranged from a low of 76</w:t>
      </w:r>
      <w:r w:rsidR="00127E49">
        <w:rPr>
          <w:rFonts w:cs="Arial"/>
        </w:rPr>
        <w:t>°</w:t>
      </w:r>
      <w:r w:rsidR="00127E49">
        <w:t>F</w:t>
      </w:r>
      <w:r w:rsidR="009C55F2">
        <w:t xml:space="preserve"> to a high of 95</w:t>
      </w:r>
      <w:r w:rsidR="00127E49">
        <w:rPr>
          <w:rFonts w:cs="Arial"/>
        </w:rPr>
        <w:t>°</w:t>
      </w:r>
      <w:r w:rsidR="00127E49">
        <w:t xml:space="preserve">F.  Percent impacts range from </w:t>
      </w:r>
      <w:r w:rsidR="009C55F2">
        <w:t>5.4</w:t>
      </w:r>
      <w:r w:rsidR="00127E49">
        <w:t xml:space="preserve">% to </w:t>
      </w:r>
      <w:r w:rsidR="009C55F2">
        <w:t>8.4</w:t>
      </w:r>
      <w:r w:rsidR="00127E49">
        <w:t xml:space="preserve">%, average impacts range from </w:t>
      </w:r>
      <w:r w:rsidR="009C55F2">
        <w:t>12.7</w:t>
      </w:r>
      <w:r w:rsidR="00127E49">
        <w:t xml:space="preserve"> kW to </w:t>
      </w:r>
      <w:r w:rsidR="009C55F2">
        <w:t>23.5</w:t>
      </w:r>
      <w:r w:rsidR="00127E49">
        <w:t xml:space="preserve"> kW and aggregate impacts range from </w:t>
      </w:r>
      <w:r w:rsidR="009C55F2">
        <w:t>14.5 MW to 25.9</w:t>
      </w:r>
      <w:r w:rsidR="00127E49">
        <w:t xml:space="preserve"> MW.  On the average </w:t>
      </w:r>
      <w:r w:rsidR="009C55F2">
        <w:t xml:space="preserve">weekday </w:t>
      </w:r>
      <w:r w:rsidR="00127E49">
        <w:t xml:space="preserve">event day, the average participant reduced peak period load by </w:t>
      </w:r>
      <w:r w:rsidR="009C55F2">
        <w:t>6.0</w:t>
      </w:r>
      <w:r w:rsidR="00127E49">
        <w:t xml:space="preserve">%, or </w:t>
      </w:r>
      <w:r w:rsidR="009C55F2">
        <w:t>16.2</w:t>
      </w:r>
      <w:r w:rsidR="00127E49">
        <w:t xml:space="preserve"> kW.  </w:t>
      </w:r>
      <w:r w:rsidR="009C55F2">
        <w:t>In aggregate, SDG</w:t>
      </w:r>
      <w:r w:rsidR="00127E49">
        <w:t xml:space="preserve">&amp;E’s CPP customers reduced load by </w:t>
      </w:r>
      <w:r w:rsidR="009C55F2">
        <w:t>18.1</w:t>
      </w:r>
      <w:r w:rsidR="00127E49">
        <w:t xml:space="preserve"> MW on average across the </w:t>
      </w:r>
      <w:r w:rsidR="009C55F2">
        <w:t>seven weekday</w:t>
      </w:r>
      <w:r w:rsidR="00127E49">
        <w:t xml:space="preserve"> event</w:t>
      </w:r>
      <w:r w:rsidR="00612BB8">
        <w:t>s</w:t>
      </w:r>
      <w:r w:rsidR="00127E49">
        <w:t xml:space="preserve"> in 2012.</w:t>
      </w:r>
      <w:r w:rsidR="009C55F2">
        <w:t xml:space="preserve">  </w:t>
      </w:r>
      <w:r w:rsidR="00612BB8">
        <w:t>On the average weekend event</w:t>
      </w:r>
      <w:r w:rsidR="009C55F2">
        <w:t>, the average participant r</w:t>
      </w:r>
      <w:r w:rsidR="00612BB8">
        <w:t xml:space="preserve">educed load by 6.3%, or 13.9 kW, and the </w:t>
      </w:r>
      <w:r w:rsidR="009C55F2">
        <w:t>aggregate</w:t>
      </w:r>
      <w:r w:rsidR="00612BB8">
        <w:t xml:space="preserve"> impact averaged</w:t>
      </w:r>
      <w:r w:rsidR="00D963CC">
        <w:t xml:space="preserve"> 15.8</w:t>
      </w:r>
      <w:r w:rsidR="009C55F2">
        <w:t xml:space="preserve"> MW</w:t>
      </w:r>
      <w:r w:rsidR="00612BB8">
        <w:t>.</w:t>
      </w:r>
      <w:r w:rsidR="00676F4D">
        <w:t xml:space="preserve"> </w:t>
      </w:r>
      <w:r w:rsidR="007463BB">
        <w:t xml:space="preserve"> </w:t>
      </w:r>
      <w:r w:rsidR="00676F4D">
        <w:t>As expected for a group of large C&amp;I customers, weekend reference load is lower than weekday reference load.  Notably, despite the lower weekend reference load, SDG&amp;E’s CPP customers produce</w:t>
      </w:r>
      <w:r w:rsidR="00612BB8">
        <w:t>d</w:t>
      </w:r>
      <w:r w:rsidR="00676F4D">
        <w:t xml:space="preserve"> similar percent load reductions </w:t>
      </w:r>
      <w:r w:rsidR="00612BB8">
        <w:t xml:space="preserve">on average for </w:t>
      </w:r>
      <w:r w:rsidR="000C6077">
        <w:t>weekday</w:t>
      </w:r>
      <w:r w:rsidR="00612BB8">
        <w:t>s</w:t>
      </w:r>
      <w:r w:rsidR="000C6077">
        <w:t xml:space="preserve"> </w:t>
      </w:r>
      <w:r w:rsidR="00612BB8">
        <w:t>and</w:t>
      </w:r>
      <w:r w:rsidR="000C6077">
        <w:t xml:space="preserve"> weekend</w:t>
      </w:r>
      <w:r w:rsidR="00612BB8">
        <w:t>s</w:t>
      </w:r>
      <w:r w:rsidR="000C6077">
        <w:t>.</w:t>
      </w:r>
    </w:p>
    <w:p w:rsidR="002E23B8" w:rsidRPr="00256196" w:rsidRDefault="003850B4" w:rsidP="00127E49">
      <w:pPr>
        <w:pStyle w:val="TableFigureCaption"/>
        <w:rPr>
          <w:rFonts w:ascii="Verdana" w:hAnsi="Verdana"/>
        </w:rPr>
      </w:pPr>
      <w:r w:rsidRPr="00256196">
        <w:rPr>
          <w:rFonts w:ascii="Verdana" w:hAnsi="Verdana"/>
        </w:rPr>
        <w:t>Table 6-1: Estimated Ex Pos</w:t>
      </w:r>
      <w:r w:rsidR="002E23B8" w:rsidRPr="00256196">
        <w:rPr>
          <w:rFonts w:ascii="Verdana" w:hAnsi="Verdana"/>
        </w:rPr>
        <w:t>t Load Impacts by Event Day</w:t>
      </w:r>
      <w:r w:rsidR="002E23B8" w:rsidRPr="00256196">
        <w:rPr>
          <w:rFonts w:ascii="Verdana" w:hAnsi="Verdana"/>
        </w:rPr>
        <w:br/>
        <w:t>2012</w:t>
      </w:r>
      <w:r w:rsidRPr="00256196">
        <w:rPr>
          <w:rFonts w:ascii="Verdana" w:hAnsi="Verdana"/>
        </w:rPr>
        <w:t xml:space="preserve"> SDG&amp;E CPP Events</w:t>
      </w:r>
      <w:bookmarkStart w:id="129" w:name="_Toc326072122"/>
    </w:p>
    <w:tbl>
      <w:tblPr>
        <w:tblW w:w="5000" w:type="pct"/>
        <w:tblLook w:val="04A0" w:firstRow="1" w:lastRow="0" w:firstColumn="1" w:lastColumn="0" w:noHBand="0" w:noVBand="1"/>
      </w:tblPr>
      <w:tblGrid>
        <w:gridCol w:w="1020"/>
        <w:gridCol w:w="839"/>
        <w:gridCol w:w="920"/>
        <w:gridCol w:w="996"/>
        <w:gridCol w:w="963"/>
        <w:gridCol w:w="838"/>
        <w:gridCol w:w="1002"/>
        <w:gridCol w:w="1000"/>
        <w:gridCol w:w="838"/>
        <w:gridCol w:w="1002"/>
      </w:tblGrid>
      <w:tr w:rsidR="00833444" w:rsidRPr="00A72A4C" w:rsidTr="00A72A4C">
        <w:trPr>
          <w:trHeight w:val="1214"/>
        </w:trPr>
        <w:tc>
          <w:tcPr>
            <w:tcW w:w="541" w:type="pct"/>
            <w:tcBorders>
              <w:top w:val="single" w:sz="4" w:space="0" w:color="auto"/>
              <w:left w:val="single" w:sz="4" w:space="0" w:color="auto"/>
              <w:bottom w:val="single" w:sz="4" w:space="0" w:color="000000"/>
              <w:right w:val="single" w:sz="4" w:space="0" w:color="FFFFFF"/>
            </w:tcBorders>
            <w:shd w:val="clear" w:color="000000" w:fill="1F497D"/>
            <w:tcMar>
              <w:left w:w="29" w:type="dxa"/>
              <w:right w:w="29" w:type="dxa"/>
            </w:tcMar>
            <w:vAlign w:val="center"/>
            <w:hideMark/>
          </w:tcPr>
          <w:p w:rsidR="00833444" w:rsidRPr="00A72A4C" w:rsidRDefault="00833444" w:rsidP="00833444">
            <w:pPr>
              <w:pStyle w:val="TableHeader"/>
              <w:rPr>
                <w:sz w:val="18"/>
                <w:szCs w:val="18"/>
              </w:rPr>
            </w:pPr>
            <w:r w:rsidRPr="00A72A4C">
              <w:rPr>
                <w:sz w:val="18"/>
                <w:szCs w:val="18"/>
              </w:rPr>
              <w:t>Event Date</w:t>
            </w:r>
          </w:p>
        </w:tc>
        <w:tc>
          <w:tcPr>
            <w:tcW w:w="445" w:type="pct"/>
            <w:tcBorders>
              <w:top w:val="single" w:sz="4" w:space="0" w:color="auto"/>
              <w:left w:val="single" w:sz="4" w:space="0" w:color="FFFFFF"/>
              <w:bottom w:val="single" w:sz="4" w:space="0" w:color="000000"/>
              <w:right w:val="single" w:sz="4" w:space="0" w:color="FFFFFF"/>
            </w:tcBorders>
            <w:shd w:val="clear" w:color="000000" w:fill="1F497D"/>
            <w:tcMar>
              <w:left w:w="29" w:type="dxa"/>
              <w:right w:w="29" w:type="dxa"/>
            </w:tcMar>
            <w:vAlign w:val="center"/>
            <w:hideMark/>
          </w:tcPr>
          <w:p w:rsidR="00833444" w:rsidRPr="00A72A4C" w:rsidRDefault="00833444" w:rsidP="00833444">
            <w:pPr>
              <w:pStyle w:val="TableHeader"/>
              <w:rPr>
                <w:sz w:val="18"/>
                <w:szCs w:val="18"/>
              </w:rPr>
            </w:pPr>
            <w:r w:rsidRPr="00A72A4C">
              <w:rPr>
                <w:sz w:val="18"/>
                <w:szCs w:val="18"/>
              </w:rPr>
              <w:t>Day of Week</w:t>
            </w:r>
          </w:p>
        </w:tc>
        <w:tc>
          <w:tcPr>
            <w:tcW w:w="488" w:type="pct"/>
            <w:tcBorders>
              <w:top w:val="single" w:sz="4" w:space="0" w:color="auto"/>
              <w:left w:val="single" w:sz="4" w:space="0" w:color="FFFFFF"/>
              <w:bottom w:val="single" w:sz="4" w:space="0" w:color="000000"/>
              <w:right w:val="single" w:sz="4" w:space="0" w:color="FFFFFF"/>
            </w:tcBorders>
            <w:shd w:val="clear" w:color="000000" w:fill="1F497D"/>
            <w:tcMar>
              <w:left w:w="29" w:type="dxa"/>
              <w:right w:w="29" w:type="dxa"/>
            </w:tcMar>
            <w:vAlign w:val="center"/>
            <w:hideMark/>
          </w:tcPr>
          <w:p w:rsidR="00833444" w:rsidRPr="00A72A4C" w:rsidRDefault="00833444" w:rsidP="00833444">
            <w:pPr>
              <w:pStyle w:val="TableHeader"/>
              <w:rPr>
                <w:sz w:val="18"/>
                <w:szCs w:val="18"/>
              </w:rPr>
            </w:pPr>
            <w:r w:rsidRPr="00A72A4C">
              <w:rPr>
                <w:sz w:val="18"/>
                <w:szCs w:val="18"/>
              </w:rPr>
              <w:t>Accounts</w:t>
            </w:r>
          </w:p>
        </w:tc>
        <w:tc>
          <w:tcPr>
            <w:tcW w:w="529" w:type="pct"/>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833444" w:rsidRPr="00A72A4C" w:rsidRDefault="00833444" w:rsidP="00833444">
            <w:pPr>
              <w:pStyle w:val="TableHeader"/>
              <w:rPr>
                <w:sz w:val="18"/>
                <w:szCs w:val="18"/>
              </w:rPr>
            </w:pPr>
            <w:r w:rsidRPr="00A72A4C">
              <w:rPr>
                <w:sz w:val="18"/>
                <w:szCs w:val="18"/>
              </w:rPr>
              <w:t>Avg. Customer Reference Load (kW)</w:t>
            </w:r>
          </w:p>
        </w:tc>
        <w:tc>
          <w:tcPr>
            <w:tcW w:w="511" w:type="pct"/>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833444" w:rsidRPr="00A72A4C" w:rsidRDefault="00833444" w:rsidP="00833444">
            <w:pPr>
              <w:pStyle w:val="TableHeader"/>
              <w:rPr>
                <w:sz w:val="18"/>
                <w:szCs w:val="18"/>
              </w:rPr>
            </w:pPr>
            <w:r w:rsidRPr="00A72A4C">
              <w:rPr>
                <w:sz w:val="18"/>
                <w:szCs w:val="18"/>
              </w:rPr>
              <w:t>Avg. Customer Load w/ DR (kW)</w:t>
            </w:r>
          </w:p>
        </w:tc>
        <w:tc>
          <w:tcPr>
            <w:tcW w:w="445" w:type="pct"/>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833444" w:rsidRPr="00A72A4C" w:rsidRDefault="00833444" w:rsidP="00833444">
            <w:pPr>
              <w:pStyle w:val="TableHeader"/>
              <w:rPr>
                <w:sz w:val="18"/>
                <w:szCs w:val="18"/>
              </w:rPr>
            </w:pPr>
            <w:r w:rsidRPr="00A72A4C">
              <w:rPr>
                <w:sz w:val="18"/>
                <w:szCs w:val="18"/>
              </w:rPr>
              <w:t>Impact (kW)</w:t>
            </w:r>
          </w:p>
        </w:tc>
        <w:tc>
          <w:tcPr>
            <w:tcW w:w="532" w:type="pct"/>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833444" w:rsidRPr="00A72A4C" w:rsidRDefault="00833444" w:rsidP="00833444">
            <w:pPr>
              <w:pStyle w:val="TableHeader"/>
              <w:rPr>
                <w:sz w:val="18"/>
                <w:szCs w:val="18"/>
              </w:rPr>
            </w:pPr>
            <w:r w:rsidRPr="00A72A4C">
              <w:rPr>
                <w:sz w:val="18"/>
                <w:szCs w:val="18"/>
              </w:rPr>
              <w:t>Aggregate Impact (MW)</w:t>
            </w:r>
          </w:p>
        </w:tc>
        <w:tc>
          <w:tcPr>
            <w:tcW w:w="531" w:type="pct"/>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833444" w:rsidRPr="00A72A4C" w:rsidRDefault="00833444" w:rsidP="00833444">
            <w:pPr>
              <w:pStyle w:val="TableHeader"/>
              <w:rPr>
                <w:sz w:val="18"/>
                <w:szCs w:val="18"/>
              </w:rPr>
            </w:pPr>
            <w:r w:rsidRPr="00A72A4C">
              <w:rPr>
                <w:sz w:val="18"/>
                <w:szCs w:val="18"/>
              </w:rPr>
              <w:t>Reduction %</w:t>
            </w:r>
          </w:p>
        </w:tc>
        <w:tc>
          <w:tcPr>
            <w:tcW w:w="445" w:type="pct"/>
            <w:tcBorders>
              <w:top w:val="single" w:sz="4" w:space="0" w:color="auto"/>
              <w:left w:val="nil"/>
              <w:bottom w:val="single" w:sz="4" w:space="0" w:color="auto"/>
              <w:right w:val="single" w:sz="4" w:space="0" w:color="FFFFFF"/>
            </w:tcBorders>
            <w:shd w:val="clear" w:color="000000" w:fill="1F497D"/>
            <w:tcMar>
              <w:left w:w="29" w:type="dxa"/>
              <w:right w:w="29" w:type="dxa"/>
            </w:tcMar>
            <w:vAlign w:val="center"/>
            <w:hideMark/>
          </w:tcPr>
          <w:p w:rsidR="00833444" w:rsidRPr="00A72A4C" w:rsidRDefault="00833444" w:rsidP="00833444">
            <w:pPr>
              <w:pStyle w:val="TableHeader"/>
              <w:rPr>
                <w:sz w:val="18"/>
                <w:szCs w:val="18"/>
              </w:rPr>
            </w:pPr>
            <w:r w:rsidRPr="00A72A4C">
              <w:rPr>
                <w:sz w:val="18"/>
                <w:szCs w:val="18"/>
              </w:rPr>
              <w:t>Avg. Temp. °F</w:t>
            </w:r>
          </w:p>
        </w:tc>
        <w:tc>
          <w:tcPr>
            <w:tcW w:w="532" w:type="pct"/>
            <w:tcBorders>
              <w:top w:val="single" w:sz="4" w:space="0" w:color="auto"/>
              <w:left w:val="nil"/>
              <w:bottom w:val="single" w:sz="4" w:space="0" w:color="auto"/>
              <w:right w:val="single" w:sz="4" w:space="0" w:color="auto"/>
            </w:tcBorders>
            <w:shd w:val="clear" w:color="000000" w:fill="1F497D"/>
            <w:tcMar>
              <w:left w:w="29" w:type="dxa"/>
              <w:right w:w="29" w:type="dxa"/>
            </w:tcMar>
            <w:vAlign w:val="center"/>
            <w:hideMark/>
          </w:tcPr>
          <w:p w:rsidR="00833444" w:rsidRPr="00A72A4C" w:rsidRDefault="00833444" w:rsidP="00833444">
            <w:pPr>
              <w:pStyle w:val="TableHeader"/>
              <w:rPr>
                <w:sz w:val="18"/>
                <w:szCs w:val="18"/>
              </w:rPr>
            </w:pPr>
            <w:r w:rsidRPr="00A72A4C">
              <w:rPr>
                <w:sz w:val="18"/>
                <w:szCs w:val="18"/>
              </w:rPr>
              <w:t>Daily Maximum Temp. °F</w:t>
            </w:r>
          </w:p>
        </w:tc>
      </w:tr>
      <w:tr w:rsidR="00CA3AEF" w:rsidRPr="00A72A4C" w:rsidTr="00A72A4C">
        <w:trPr>
          <w:trHeight w:val="300"/>
        </w:trPr>
        <w:tc>
          <w:tcPr>
            <w:tcW w:w="541" w:type="pct"/>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8/9/2012</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040C8D">
            <w:pPr>
              <w:pStyle w:val="TableText"/>
              <w:rPr>
                <w:szCs w:val="18"/>
              </w:rPr>
            </w:pPr>
            <w:r w:rsidRPr="00A72A4C">
              <w:rPr>
                <w:szCs w:val="18"/>
              </w:rPr>
              <w:t>Thu</w:t>
            </w:r>
          </w:p>
        </w:tc>
        <w:tc>
          <w:tcPr>
            <w:tcW w:w="48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1,103</w:t>
            </w:r>
          </w:p>
        </w:tc>
        <w:tc>
          <w:tcPr>
            <w:tcW w:w="529"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263.4</w:t>
            </w:r>
          </w:p>
        </w:tc>
        <w:tc>
          <w:tcPr>
            <w:tcW w:w="511"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249.0</w:t>
            </w:r>
          </w:p>
        </w:tc>
        <w:tc>
          <w:tcPr>
            <w:tcW w:w="445"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14.4</w:t>
            </w:r>
          </w:p>
        </w:tc>
        <w:tc>
          <w:tcPr>
            <w:tcW w:w="532"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15.9</w:t>
            </w:r>
          </w:p>
        </w:tc>
        <w:tc>
          <w:tcPr>
            <w:tcW w:w="531"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5.5%</w:t>
            </w:r>
          </w:p>
        </w:tc>
        <w:tc>
          <w:tcPr>
            <w:tcW w:w="445"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79.8</w:t>
            </w:r>
          </w:p>
        </w:tc>
        <w:tc>
          <w:tcPr>
            <w:tcW w:w="532"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81.5</w:t>
            </w:r>
          </w:p>
        </w:tc>
      </w:tr>
      <w:tr w:rsidR="00CA3AEF" w:rsidRPr="00A72A4C" w:rsidTr="00A72A4C">
        <w:trPr>
          <w:trHeight w:val="300"/>
        </w:trPr>
        <w:tc>
          <w:tcPr>
            <w:tcW w:w="541" w:type="pct"/>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8/11/2012</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Sat</w:t>
            </w:r>
          </w:p>
        </w:tc>
        <w:tc>
          <w:tcPr>
            <w:tcW w:w="48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1,135</w:t>
            </w:r>
          </w:p>
        </w:tc>
        <w:tc>
          <w:tcPr>
            <w:tcW w:w="529"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217.3</w:t>
            </w:r>
          </w:p>
        </w:tc>
        <w:tc>
          <w:tcPr>
            <w:tcW w:w="51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201.0</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16.2</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18.4</w:t>
            </w:r>
          </w:p>
        </w:tc>
        <w:tc>
          <w:tcPr>
            <w:tcW w:w="53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7.5%</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82.1</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84.1</w:t>
            </w:r>
          </w:p>
        </w:tc>
      </w:tr>
      <w:tr w:rsidR="00CA3AEF" w:rsidRPr="00A72A4C" w:rsidTr="00A72A4C">
        <w:trPr>
          <w:trHeight w:val="300"/>
        </w:trPr>
        <w:tc>
          <w:tcPr>
            <w:tcW w:w="541" w:type="pct"/>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8/14/2012</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Tue</w:t>
            </w:r>
          </w:p>
        </w:tc>
        <w:tc>
          <w:tcPr>
            <w:tcW w:w="48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1,103</w:t>
            </w:r>
          </w:p>
        </w:tc>
        <w:tc>
          <w:tcPr>
            <w:tcW w:w="529"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278.0</w:t>
            </w:r>
          </w:p>
        </w:tc>
        <w:tc>
          <w:tcPr>
            <w:tcW w:w="51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254.6</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23.5</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25.9</w:t>
            </w:r>
          </w:p>
        </w:tc>
        <w:tc>
          <w:tcPr>
            <w:tcW w:w="53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8.4%</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80.9</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83.2</w:t>
            </w:r>
          </w:p>
        </w:tc>
      </w:tr>
      <w:tr w:rsidR="00CA3AEF" w:rsidRPr="00A72A4C" w:rsidTr="00A72A4C">
        <w:trPr>
          <w:trHeight w:val="300"/>
        </w:trPr>
        <w:tc>
          <w:tcPr>
            <w:tcW w:w="541" w:type="pct"/>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8/21/2012</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Tue</w:t>
            </w:r>
          </w:p>
        </w:tc>
        <w:tc>
          <w:tcPr>
            <w:tcW w:w="48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1,135</w:t>
            </w:r>
          </w:p>
        </w:tc>
        <w:tc>
          <w:tcPr>
            <w:tcW w:w="529"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262.0</w:t>
            </w:r>
          </w:p>
        </w:tc>
        <w:tc>
          <w:tcPr>
            <w:tcW w:w="51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246.8</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15.2</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17.2</w:t>
            </w:r>
          </w:p>
        </w:tc>
        <w:tc>
          <w:tcPr>
            <w:tcW w:w="53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5.8%</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75.7</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78.3</w:t>
            </w:r>
          </w:p>
        </w:tc>
      </w:tr>
      <w:tr w:rsidR="00CA3AEF" w:rsidRPr="00A72A4C" w:rsidTr="00A72A4C">
        <w:trPr>
          <w:trHeight w:val="300"/>
        </w:trPr>
        <w:tc>
          <w:tcPr>
            <w:tcW w:w="541" w:type="pct"/>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8/30/2012</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040C8D">
            <w:pPr>
              <w:pStyle w:val="TableText"/>
              <w:rPr>
                <w:szCs w:val="18"/>
              </w:rPr>
            </w:pPr>
            <w:r w:rsidRPr="00A72A4C">
              <w:rPr>
                <w:szCs w:val="18"/>
              </w:rPr>
              <w:t>Thu</w:t>
            </w:r>
          </w:p>
        </w:tc>
        <w:tc>
          <w:tcPr>
            <w:tcW w:w="48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1,135</w:t>
            </w:r>
          </w:p>
        </w:tc>
        <w:tc>
          <w:tcPr>
            <w:tcW w:w="529"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270.7</w:t>
            </w:r>
          </w:p>
        </w:tc>
        <w:tc>
          <w:tcPr>
            <w:tcW w:w="51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255.0</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15.7</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17.8</w:t>
            </w:r>
          </w:p>
        </w:tc>
        <w:tc>
          <w:tcPr>
            <w:tcW w:w="53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5.8%</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80.6</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82.7</w:t>
            </w:r>
          </w:p>
        </w:tc>
      </w:tr>
      <w:tr w:rsidR="00CA3AEF" w:rsidRPr="00A72A4C" w:rsidTr="00A72A4C">
        <w:trPr>
          <w:trHeight w:val="300"/>
        </w:trPr>
        <w:tc>
          <w:tcPr>
            <w:tcW w:w="541" w:type="pct"/>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9/15/2012</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Sat</w:t>
            </w:r>
          </w:p>
        </w:tc>
        <w:tc>
          <w:tcPr>
            <w:tcW w:w="48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1,138</w:t>
            </w:r>
          </w:p>
        </w:tc>
        <w:tc>
          <w:tcPr>
            <w:tcW w:w="529"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226.9</w:t>
            </w:r>
          </w:p>
        </w:tc>
        <w:tc>
          <w:tcPr>
            <w:tcW w:w="51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214.2</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12.7</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14.5</w:t>
            </w:r>
          </w:p>
        </w:tc>
        <w:tc>
          <w:tcPr>
            <w:tcW w:w="53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5.6%</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95.1</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100.0</w:t>
            </w:r>
          </w:p>
        </w:tc>
      </w:tr>
      <w:tr w:rsidR="00CA3AEF" w:rsidRPr="00A72A4C" w:rsidTr="00A72A4C">
        <w:trPr>
          <w:trHeight w:val="300"/>
        </w:trPr>
        <w:tc>
          <w:tcPr>
            <w:tcW w:w="541" w:type="pct"/>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10/2/2012</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Tue</w:t>
            </w:r>
          </w:p>
        </w:tc>
        <w:tc>
          <w:tcPr>
            <w:tcW w:w="48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1,109</w:t>
            </w:r>
          </w:p>
        </w:tc>
        <w:tc>
          <w:tcPr>
            <w:tcW w:w="529"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273.8</w:t>
            </w:r>
          </w:p>
        </w:tc>
        <w:tc>
          <w:tcPr>
            <w:tcW w:w="51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259.0</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14.9</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16.5</w:t>
            </w:r>
          </w:p>
        </w:tc>
        <w:tc>
          <w:tcPr>
            <w:tcW w:w="53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5.4%</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84.5</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szCs w:val="18"/>
              </w:rPr>
            </w:pPr>
            <w:r w:rsidRPr="00A72A4C">
              <w:rPr>
                <w:szCs w:val="18"/>
              </w:rPr>
              <w:t>90.5</w:t>
            </w:r>
          </w:p>
        </w:tc>
      </w:tr>
      <w:tr w:rsidR="00CA3AEF" w:rsidRPr="00A72A4C" w:rsidTr="00A72A4C">
        <w:trPr>
          <w:trHeight w:val="300"/>
        </w:trPr>
        <w:tc>
          <w:tcPr>
            <w:tcW w:w="986" w:type="pct"/>
            <w:gridSpan w:val="2"/>
            <w:tcBorders>
              <w:top w:val="single" w:sz="4" w:space="0" w:color="auto"/>
              <w:left w:val="single" w:sz="4" w:space="0" w:color="auto"/>
              <w:bottom w:val="single" w:sz="4" w:space="0" w:color="auto"/>
              <w:right w:val="single" w:sz="4" w:space="0" w:color="000000"/>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Avg. Weekday Event</w:t>
            </w:r>
          </w:p>
        </w:tc>
        <w:tc>
          <w:tcPr>
            <w:tcW w:w="48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1,117</w:t>
            </w:r>
          </w:p>
        </w:tc>
        <w:tc>
          <w:tcPr>
            <w:tcW w:w="529"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269.1</w:t>
            </w:r>
          </w:p>
        </w:tc>
        <w:tc>
          <w:tcPr>
            <w:tcW w:w="51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252.9</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16.2</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18.1</w:t>
            </w:r>
          </w:p>
        </w:tc>
        <w:tc>
          <w:tcPr>
            <w:tcW w:w="53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6.0%</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80.4</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82.9</w:t>
            </w:r>
          </w:p>
        </w:tc>
      </w:tr>
      <w:tr w:rsidR="00CA3AEF" w:rsidRPr="00A72A4C" w:rsidTr="00A72A4C">
        <w:trPr>
          <w:trHeight w:val="300"/>
        </w:trPr>
        <w:tc>
          <w:tcPr>
            <w:tcW w:w="986" w:type="pct"/>
            <w:gridSpan w:val="2"/>
            <w:tcBorders>
              <w:top w:val="single" w:sz="4" w:space="0" w:color="auto"/>
              <w:left w:val="single" w:sz="4" w:space="0" w:color="auto"/>
              <w:bottom w:val="single" w:sz="4" w:space="0" w:color="auto"/>
              <w:right w:val="single" w:sz="4" w:space="0" w:color="000000"/>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Avg. Weekend Event</w:t>
            </w:r>
          </w:p>
        </w:tc>
        <w:tc>
          <w:tcPr>
            <w:tcW w:w="48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1,137</w:t>
            </w:r>
          </w:p>
        </w:tc>
        <w:tc>
          <w:tcPr>
            <w:tcW w:w="529"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221.5</w:t>
            </w:r>
          </w:p>
        </w:tc>
        <w:tc>
          <w:tcPr>
            <w:tcW w:w="51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207.6</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13.9</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15.8</w:t>
            </w:r>
          </w:p>
        </w:tc>
        <w:tc>
          <w:tcPr>
            <w:tcW w:w="53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6.3%</w:t>
            </w:r>
          </w:p>
        </w:tc>
        <w:tc>
          <w:tcPr>
            <w:tcW w:w="445"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87.1</w:t>
            </w:r>
          </w:p>
        </w:tc>
        <w:tc>
          <w:tcPr>
            <w:tcW w:w="53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CA3AEF" w:rsidRPr="00A72A4C" w:rsidRDefault="00CA3AEF" w:rsidP="00833444">
            <w:pPr>
              <w:pStyle w:val="TableText"/>
              <w:rPr>
                <w:b/>
                <w:bCs/>
                <w:szCs w:val="18"/>
              </w:rPr>
            </w:pPr>
            <w:r w:rsidRPr="00A72A4C">
              <w:rPr>
                <w:b/>
                <w:bCs/>
                <w:szCs w:val="18"/>
              </w:rPr>
              <w:t>90.3</w:t>
            </w:r>
          </w:p>
        </w:tc>
      </w:tr>
    </w:tbl>
    <w:p w:rsidR="00FB7B42" w:rsidRDefault="00211B4A" w:rsidP="00833444">
      <w:pPr>
        <w:pStyle w:val="BodyParaAfterTableFigure"/>
        <w:rPr>
          <w:szCs w:val="18"/>
        </w:rPr>
      </w:pPr>
      <w:r w:rsidRPr="00211B4A">
        <w:t>Figure 6-1 presents the estimated load impacts for individual 2012 event</w:t>
      </w:r>
      <w:r w:rsidR="00612BB8">
        <w:t>s</w:t>
      </w:r>
      <w:r w:rsidRPr="00211B4A">
        <w:t xml:space="preserve"> and the average </w:t>
      </w:r>
      <w:r w:rsidR="00D963CC">
        <w:t xml:space="preserve">event with </w:t>
      </w:r>
      <w:r w:rsidRPr="00211B4A">
        <w:t xml:space="preserve">90% confidence intervals around each point estimate.  </w:t>
      </w:r>
      <w:r w:rsidR="006722FF">
        <w:t>N</w:t>
      </w:r>
      <w:r w:rsidRPr="00211B4A">
        <w:t xml:space="preserve">otable variance, event-to-event, </w:t>
      </w:r>
      <w:r w:rsidR="006722FF">
        <w:t xml:space="preserve">is evident </w:t>
      </w:r>
      <w:r w:rsidRPr="00211B4A">
        <w:t xml:space="preserve">in the precision of the </w:t>
      </w:r>
      <w:r w:rsidR="00612BB8">
        <w:t>i</w:t>
      </w:r>
      <w:r w:rsidRPr="00211B4A">
        <w:t>mpact estimates.  All estimates are significantly greater than z</w:t>
      </w:r>
      <w:r w:rsidR="00612BB8">
        <w:t>ero, however some events show</w:t>
      </w:r>
      <w:r w:rsidRPr="00211B4A">
        <w:t xml:space="preserve"> very little variation in customer demand response, while others, specifically the weekend events on August 11 and September 15, </w:t>
      </w:r>
      <w:r w:rsidR="00612BB8">
        <w:t>have very wide confidence bands</w:t>
      </w:r>
      <w:r w:rsidRPr="00211B4A">
        <w:t xml:space="preserve">.  These individual event </w:t>
      </w:r>
      <w:r w:rsidRPr="00211B4A">
        <w:lastRenderedPageBreak/>
        <w:t xml:space="preserve">day load impact estimates have a noisy quality due to the small, harder-to-detect load impacts and event-to-event variability among customer load patterns and ability to shift load. </w:t>
      </w:r>
      <w:r w:rsidR="007463BB">
        <w:t xml:space="preserve"> </w:t>
      </w:r>
      <w:r w:rsidRPr="00211B4A">
        <w:t xml:space="preserve">The highly variable Saturday responses are particularly likely to be a function of ability to shift load: perhaps decision makers or facility managers may not </w:t>
      </w:r>
      <w:r w:rsidR="00612BB8">
        <w:t xml:space="preserve">be </w:t>
      </w:r>
      <w:r w:rsidRPr="00211B4A">
        <w:t xml:space="preserve">onsite to take demand </w:t>
      </w:r>
      <w:r w:rsidR="00D963CC">
        <w:t xml:space="preserve">response actions on a Saturday.  </w:t>
      </w:r>
      <w:r w:rsidRPr="00211B4A">
        <w:t xml:space="preserve">In contrast, the average event day load impact estimate is more precise, but note that the </w:t>
      </w:r>
      <w:r w:rsidR="00612BB8">
        <w:t xml:space="preserve">average </w:t>
      </w:r>
      <w:r w:rsidRPr="00211B4A">
        <w:t xml:space="preserve">event day load impact estimate shown </w:t>
      </w:r>
      <w:r w:rsidR="00D963CC">
        <w:t xml:space="preserve">in Figure 6-1 </w:t>
      </w:r>
      <w:r w:rsidRPr="00211B4A">
        <w:t>is for weekday events only.</w:t>
      </w:r>
    </w:p>
    <w:p w:rsidR="00BC66BD" w:rsidRPr="00F92345" w:rsidRDefault="00BC66BD" w:rsidP="00833444">
      <w:pPr>
        <w:pStyle w:val="TableFigureCaption"/>
      </w:pPr>
      <w:r>
        <w:t>Figure 6</w:t>
      </w:r>
      <w:r w:rsidRPr="00F92345">
        <w:t>-1</w:t>
      </w:r>
      <w:r w:rsidR="00D963CC">
        <w:t>:</w:t>
      </w:r>
      <w:r w:rsidRPr="00F92345">
        <w:t xml:space="preserve"> Estimated Ex Post Load Impacts with Confidence Intervals</w:t>
      </w:r>
      <w:r w:rsidR="00833444">
        <w:br/>
      </w:r>
      <w:r w:rsidRPr="00F92345">
        <w:t xml:space="preserve">2012 </w:t>
      </w:r>
      <w:r>
        <w:t>SD</w:t>
      </w:r>
      <w:r w:rsidRPr="00F92345">
        <w:t>G&amp;E CPP Events</w:t>
      </w:r>
    </w:p>
    <w:p w:rsidR="00FB7B42" w:rsidRDefault="001E3B5B" w:rsidP="00FB7B42">
      <w:pPr>
        <w:pStyle w:val="BodyParagraph"/>
        <w:contextualSpacing/>
        <w:rPr>
          <w:szCs w:val="18"/>
        </w:rPr>
      </w:pPr>
      <w:r>
        <w:rPr>
          <w:noProof/>
        </w:rPr>
        <w:drawing>
          <wp:inline distT="0" distB="0" distL="0" distR="0" wp14:anchorId="18AFDB46" wp14:editId="2D7BD2F0">
            <wp:extent cx="5943600" cy="2736814"/>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2736814"/>
                    </a:xfrm>
                    <a:prstGeom prst="rect">
                      <a:avLst/>
                    </a:prstGeom>
                    <a:noFill/>
                    <a:ln>
                      <a:noFill/>
                    </a:ln>
                  </pic:spPr>
                </pic:pic>
              </a:graphicData>
            </a:graphic>
          </wp:inline>
        </w:drawing>
      </w:r>
    </w:p>
    <w:p w:rsidR="003850B4" w:rsidRPr="00637BA0" w:rsidRDefault="003850B4" w:rsidP="00833444">
      <w:pPr>
        <w:pStyle w:val="Heading2"/>
        <w:spacing w:before="360"/>
      </w:pPr>
      <w:bookmarkStart w:id="130" w:name="_Toc352323646"/>
      <w:r w:rsidRPr="003850B4">
        <w:t>Average</w:t>
      </w:r>
      <w:r>
        <w:t xml:space="preserve"> Event Day Impacts</w:t>
      </w:r>
      <w:bookmarkEnd w:id="129"/>
      <w:bookmarkEnd w:id="130"/>
      <w:r>
        <w:t xml:space="preserve"> </w:t>
      </w:r>
    </w:p>
    <w:p w:rsidR="00FB7B42" w:rsidRDefault="00FB7B42" w:rsidP="00FB7B42">
      <w:pPr>
        <w:pStyle w:val="BodyParagraph"/>
      </w:pPr>
      <w:r>
        <w:t>Figure 6-2 shows the hourly impacts for the average</w:t>
      </w:r>
      <w:r w:rsidR="00DD1452">
        <w:t xml:space="preserve"> weekday</w:t>
      </w:r>
      <w:r>
        <w:t xml:space="preserve"> event for all customers across all hours of the day.  Recall from Section 2 that the CPP event period for SDG&amp;E runs from 11 AM to 6 PM, which is substantially longer than the 2 PM to 6 PM event periods employed by SCE and PG&amp;E.</w:t>
      </w:r>
    </w:p>
    <w:p w:rsidR="00DD1452" w:rsidRDefault="00FB7B42" w:rsidP="003850B4">
      <w:pPr>
        <w:pStyle w:val="BodyParagraph"/>
      </w:pPr>
      <w:r>
        <w:t>Percent reductions in each hour of SDGE’s av</w:t>
      </w:r>
      <w:r w:rsidR="00612BB8">
        <w:t xml:space="preserve">erage 2012 weekday </w:t>
      </w:r>
      <w:r>
        <w:t>event varied from a high of 6.7% in the second hour to</w:t>
      </w:r>
      <w:r w:rsidR="00A7503D">
        <w:t xml:space="preserve"> a low of 5.3% in the last hour, but these differences are probably not statistically significant.  </w:t>
      </w:r>
      <w:r>
        <w:t xml:space="preserve">The highest aggregate impact, 21.0 MW, occurred in the second hour and the lowest impact, 14.4 </w:t>
      </w:r>
      <w:r w:rsidR="00A7503D">
        <w:t xml:space="preserve">MW, occurred in </w:t>
      </w:r>
      <w:r w:rsidR="00612BB8">
        <w:t xml:space="preserve">the last hour.  The </w:t>
      </w:r>
      <w:r w:rsidR="00A7503D">
        <w:t xml:space="preserve">reduction in </w:t>
      </w:r>
      <w:r w:rsidR="00612BB8">
        <w:t xml:space="preserve">the </w:t>
      </w:r>
      <w:r w:rsidR="00A7503D">
        <w:t xml:space="preserve">reference load </w:t>
      </w:r>
      <w:r w:rsidR="00612BB8">
        <w:t>in the late afternoon is</w:t>
      </w:r>
      <w:r w:rsidR="00A7503D">
        <w:t xml:space="preserve"> typical for this large C&amp;I population and </w:t>
      </w:r>
      <w:r w:rsidR="00612BB8">
        <w:t>is</w:t>
      </w:r>
      <w:r w:rsidR="00A7503D">
        <w:t xml:space="preserve"> reflected in reductions in aggregate load impacts towards the end of the event.  </w:t>
      </w:r>
      <w:r>
        <w:t xml:space="preserve"> </w:t>
      </w:r>
    </w:p>
    <w:p w:rsidR="00DD1452" w:rsidRDefault="00DD1452" w:rsidP="003850B4">
      <w:pPr>
        <w:pStyle w:val="BodyParagraph"/>
        <w:sectPr w:rsidR="00DD1452" w:rsidSect="00C82C6B">
          <w:headerReference w:type="default" r:id="rId43"/>
          <w:pgSz w:w="12240" w:h="15840"/>
          <w:pgMar w:top="1440" w:right="1440" w:bottom="1440" w:left="1440" w:header="720" w:footer="720" w:gutter="0"/>
          <w:cols w:space="720"/>
          <w:docGrid w:linePitch="360"/>
        </w:sectPr>
      </w:pPr>
      <w:r>
        <w:t>Figure 6-3 presents the same information for the average weekend event day; SDG&amp;E called two events on Saturdays in 2012: August 11 and September 15.</w:t>
      </w:r>
      <w:r w:rsidR="00B23ABE">
        <w:t xml:space="preserve">  </w:t>
      </w:r>
      <w:r w:rsidR="00D963CC">
        <w:t>The percent reductions during the average weekend event varied from a high of 6.9% in the first hour to</w:t>
      </w:r>
      <w:r w:rsidR="00A7503D">
        <w:t xml:space="preserve"> a low of 5.3% in the last hour, but again these differences are probably not significant.</w:t>
      </w:r>
      <w:r w:rsidR="00D963CC">
        <w:t xml:space="preserve">  The highest aggregate impact, 17.7 MW, occurred in the first hour and the</w:t>
      </w:r>
      <w:r w:rsidR="00F51DC3">
        <w:t> </w:t>
      </w:r>
      <w:r w:rsidR="00D963CC">
        <w:t>lowest impact, 12.8 MW</w:t>
      </w:r>
      <w:r w:rsidR="00F51DC3">
        <w:t>,</w:t>
      </w:r>
      <w:r w:rsidR="00D963CC">
        <w:t xml:space="preserve"> occurred in the</w:t>
      </w:r>
      <w:r w:rsidR="00BC33DA">
        <w:t xml:space="preserve"> last hour, again in tune with typical large C&amp;I reference load</w:t>
      </w:r>
      <w:r w:rsidR="00F51DC3">
        <w:t> </w:t>
      </w:r>
      <w:r w:rsidR="00BC33DA">
        <w:t>patterns.</w:t>
      </w:r>
    </w:p>
    <w:p w:rsidR="00DD59EC" w:rsidRPr="00D963CC" w:rsidRDefault="009C55F2" w:rsidP="00833444">
      <w:pPr>
        <w:pStyle w:val="TableFigureCaption"/>
      </w:pPr>
      <w:r w:rsidRPr="00D963CC">
        <w:lastRenderedPageBreak/>
        <w:t>Figure 6-2</w:t>
      </w:r>
      <w:r w:rsidR="00DD59EC" w:rsidRPr="00D963CC">
        <w:t>: Estimated Hourly Impacts for the Average Weekday Event Day</w:t>
      </w:r>
      <w:r w:rsidR="00833444">
        <w:br/>
      </w:r>
      <w:r w:rsidR="00DD59EC" w:rsidRPr="00D963CC">
        <w:t>2012 SDG&amp;E CPP Events</w:t>
      </w:r>
    </w:p>
    <w:p w:rsidR="002C0D82" w:rsidRDefault="00040C8D" w:rsidP="003850B4">
      <w:pPr>
        <w:pStyle w:val="BodyParagraph"/>
        <w:jc w:val="center"/>
      </w:pPr>
      <w:r w:rsidRPr="00040C8D">
        <w:rPr>
          <w:noProof/>
        </w:rPr>
        <w:drawing>
          <wp:inline distT="0" distB="0" distL="0" distR="0" wp14:anchorId="0258181C" wp14:editId="08A19243">
            <wp:extent cx="8229600" cy="499163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229600" cy="4991633"/>
                    </a:xfrm>
                    <a:prstGeom prst="rect">
                      <a:avLst/>
                    </a:prstGeom>
                    <a:noFill/>
                    <a:ln>
                      <a:noFill/>
                    </a:ln>
                  </pic:spPr>
                </pic:pic>
              </a:graphicData>
            </a:graphic>
          </wp:inline>
        </w:drawing>
      </w:r>
    </w:p>
    <w:p w:rsidR="00D963CC" w:rsidRDefault="00D963CC">
      <w:pPr>
        <w:rPr>
          <w:rFonts w:ascii="Arial" w:eastAsia="Times New Roman" w:hAnsi="Arial" w:cs="Arial"/>
          <w:b/>
          <w:bCs/>
          <w:color w:val="000000"/>
          <w:sz w:val="20"/>
          <w:szCs w:val="20"/>
        </w:rPr>
      </w:pPr>
      <w:r>
        <w:rPr>
          <w:rFonts w:ascii="Arial" w:eastAsia="Times New Roman" w:hAnsi="Arial" w:cs="Arial"/>
          <w:b/>
          <w:bCs/>
          <w:color w:val="000000"/>
          <w:sz w:val="20"/>
          <w:szCs w:val="20"/>
        </w:rPr>
        <w:br w:type="page"/>
      </w:r>
    </w:p>
    <w:p w:rsidR="00C24882" w:rsidRDefault="00C24882" w:rsidP="00833444">
      <w:pPr>
        <w:pStyle w:val="TableFigureCaption"/>
      </w:pPr>
      <w:r w:rsidRPr="00D963CC">
        <w:lastRenderedPageBreak/>
        <w:t>Figure 6-3: Estimated Hourly Impacts for the Average Weekend Event Day</w:t>
      </w:r>
      <w:r w:rsidR="00833444">
        <w:br/>
      </w:r>
      <w:r w:rsidRPr="00D963CC">
        <w:t>2012 SDG&amp;E CPP Events</w:t>
      </w:r>
    </w:p>
    <w:p w:rsidR="00833444" w:rsidRDefault="00040C8D" w:rsidP="00C24882">
      <w:pPr>
        <w:jc w:val="center"/>
        <w:rPr>
          <w:rFonts w:ascii="Verdana" w:eastAsia="Times New Roman" w:hAnsi="Verdana" w:cs="Arial"/>
          <w:b/>
          <w:bCs/>
          <w:color w:val="000000"/>
          <w:sz w:val="20"/>
          <w:szCs w:val="20"/>
        </w:rPr>
      </w:pPr>
      <w:r w:rsidRPr="00040C8D">
        <w:rPr>
          <w:noProof/>
        </w:rPr>
        <w:drawing>
          <wp:inline distT="0" distB="0" distL="0" distR="0" wp14:anchorId="3974CEA3" wp14:editId="512819D2">
            <wp:extent cx="8229600" cy="499163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229600" cy="4991633"/>
                    </a:xfrm>
                    <a:prstGeom prst="rect">
                      <a:avLst/>
                    </a:prstGeom>
                    <a:noFill/>
                    <a:ln>
                      <a:noFill/>
                    </a:ln>
                  </pic:spPr>
                </pic:pic>
              </a:graphicData>
            </a:graphic>
          </wp:inline>
        </w:drawing>
      </w:r>
    </w:p>
    <w:p w:rsidR="00833444" w:rsidRPr="00D963CC" w:rsidRDefault="00833444" w:rsidP="00C24882">
      <w:pPr>
        <w:jc w:val="center"/>
        <w:rPr>
          <w:rFonts w:ascii="Verdana" w:eastAsia="Times New Roman" w:hAnsi="Verdana" w:cs="Arial"/>
          <w:b/>
          <w:bCs/>
          <w:color w:val="000000"/>
          <w:sz w:val="20"/>
          <w:szCs w:val="20"/>
        </w:rPr>
      </w:pPr>
    </w:p>
    <w:p w:rsidR="00833444" w:rsidRDefault="00833444" w:rsidP="00760CE3">
      <w:pPr>
        <w:sectPr w:rsidR="00833444" w:rsidSect="00C82C6B">
          <w:headerReference w:type="default" r:id="rId46"/>
          <w:pgSz w:w="15840" w:h="12240" w:orient="landscape"/>
          <w:pgMar w:top="1440" w:right="1440" w:bottom="1440" w:left="1440" w:header="720" w:footer="720" w:gutter="0"/>
          <w:cols w:space="720"/>
          <w:docGrid w:linePitch="360"/>
        </w:sectPr>
      </w:pPr>
    </w:p>
    <w:p w:rsidR="003850B4" w:rsidRDefault="003850B4" w:rsidP="00833444">
      <w:pPr>
        <w:pStyle w:val="Heading2"/>
      </w:pPr>
      <w:bookmarkStart w:id="131" w:name="_Toc326072123"/>
      <w:bookmarkStart w:id="132" w:name="_Toc352323647"/>
      <w:r>
        <w:lastRenderedPageBreak/>
        <w:t xml:space="preserve">Load </w:t>
      </w:r>
      <w:r w:rsidRPr="00833444">
        <w:t>Impacts</w:t>
      </w:r>
      <w:r>
        <w:t xml:space="preserve"> by Industry</w:t>
      </w:r>
      <w:bookmarkEnd w:id="131"/>
      <w:bookmarkEnd w:id="132"/>
    </w:p>
    <w:p w:rsidR="003850B4" w:rsidRDefault="00C24882" w:rsidP="00833444">
      <w:pPr>
        <w:pStyle w:val="BodyParagraph"/>
      </w:pPr>
      <w:r>
        <w:t>Figure 6-3</w:t>
      </w:r>
      <w:r w:rsidR="003850B4">
        <w:t xml:space="preserve"> </w:t>
      </w:r>
      <w:r>
        <w:t>compares the distribution of customer reference loads, load im</w:t>
      </w:r>
      <w:r w:rsidR="00993363">
        <w:t>pacts and customers by industry sector</w:t>
      </w:r>
      <w:r>
        <w:t xml:space="preserve">.  </w:t>
      </w:r>
      <w:r w:rsidR="003850B4">
        <w:t xml:space="preserve">The distribution of </w:t>
      </w:r>
      <w:r w:rsidR="00993363">
        <w:t xml:space="preserve">CPP </w:t>
      </w:r>
      <w:r w:rsidR="003850B4">
        <w:t xml:space="preserve">impacts across industry segments </w:t>
      </w:r>
      <w:r w:rsidR="00993363">
        <w:t xml:space="preserve">at SDG&amp;E </w:t>
      </w:r>
      <w:r w:rsidR="003850B4">
        <w:t xml:space="preserve">is not as highly concentrated as </w:t>
      </w:r>
      <w:r w:rsidR="00612BB8">
        <w:t xml:space="preserve">it </w:t>
      </w:r>
      <w:r w:rsidR="003850B4">
        <w:t>is for PG&amp;E and SCE.</w:t>
      </w:r>
      <w:r w:rsidR="00676F4D">
        <w:t xml:space="preserve">  </w:t>
      </w:r>
      <w:r w:rsidR="003850B4">
        <w:t>Large aggregate impacts were provided by customers in</w:t>
      </w:r>
      <w:r w:rsidR="00EC1170">
        <w:t> </w:t>
      </w:r>
      <w:r w:rsidR="002F60B8">
        <w:t>W</w:t>
      </w:r>
      <w:r w:rsidR="00E426D4">
        <w:t xml:space="preserve">holesale, </w:t>
      </w:r>
      <w:r w:rsidR="002F60B8">
        <w:t>T</w:t>
      </w:r>
      <w:r w:rsidR="00E426D4">
        <w:t xml:space="preserve">ransport </w:t>
      </w:r>
      <w:r w:rsidR="002F60B8">
        <w:t>&amp;</w:t>
      </w:r>
      <w:r w:rsidR="00E426D4">
        <w:t xml:space="preserve"> </w:t>
      </w:r>
      <w:r w:rsidR="002F60B8">
        <w:t>O</w:t>
      </w:r>
      <w:r w:rsidR="00E426D4">
        <w:t xml:space="preserve">ther </w:t>
      </w:r>
      <w:r w:rsidR="002F60B8">
        <w:t>U</w:t>
      </w:r>
      <w:r w:rsidR="00E426D4">
        <w:t xml:space="preserve">tilities and </w:t>
      </w:r>
      <w:r w:rsidR="002F60B8">
        <w:t>M</w:t>
      </w:r>
      <w:r w:rsidR="003850B4">
        <w:t xml:space="preserve">anufacturing.  </w:t>
      </w:r>
      <w:r w:rsidR="00993363">
        <w:t xml:space="preserve">The </w:t>
      </w:r>
      <w:r w:rsidR="002F60B8">
        <w:t>O</w:t>
      </w:r>
      <w:r w:rsidR="00993363">
        <w:t xml:space="preserve">ffices, </w:t>
      </w:r>
      <w:r w:rsidR="002F60B8">
        <w:t>H</w:t>
      </w:r>
      <w:r w:rsidR="00993363">
        <w:t xml:space="preserve">otels, </w:t>
      </w:r>
      <w:r w:rsidR="002F60B8">
        <w:t>F</w:t>
      </w:r>
      <w:r w:rsidR="00612BB8">
        <w:t>inance</w:t>
      </w:r>
      <w:r w:rsidR="002F60B8">
        <w:t>s</w:t>
      </w:r>
      <w:r w:rsidR="00612BB8">
        <w:t xml:space="preserve"> </w:t>
      </w:r>
      <w:r w:rsidR="002F60B8">
        <w:t>&amp;</w:t>
      </w:r>
      <w:r w:rsidR="00993363">
        <w:t xml:space="preserve"> </w:t>
      </w:r>
      <w:r w:rsidR="002F60B8">
        <w:t>S</w:t>
      </w:r>
      <w:r w:rsidR="00993363">
        <w:t>ervices segment perform</w:t>
      </w:r>
      <w:r w:rsidR="00DD775D">
        <w:t>ed</w:t>
      </w:r>
      <w:r w:rsidR="00993363">
        <w:t xml:space="preserve"> </w:t>
      </w:r>
      <w:r w:rsidR="00DD775D">
        <w:t>better</w:t>
      </w:r>
      <w:r w:rsidR="00993363">
        <w:t xml:space="preserve"> than the same segment at PG&amp;E and SCE.  </w:t>
      </w:r>
      <w:r w:rsidR="003850B4">
        <w:t>Although these customers provided mod</w:t>
      </w:r>
      <w:r w:rsidR="00993363">
        <w:t xml:space="preserve">est per customer impacts of </w:t>
      </w:r>
      <w:r w:rsidR="00B3076A">
        <w:t>5.3</w:t>
      </w:r>
      <w:r w:rsidR="003850B4">
        <w:t xml:space="preserve"> kW (</w:t>
      </w:r>
      <w:r w:rsidR="00B3076A">
        <w:t>3.9</w:t>
      </w:r>
      <w:r w:rsidR="003850B4">
        <w:t>%), the</w:t>
      </w:r>
      <w:r w:rsidR="00DD775D">
        <w:t>ir average loads</w:t>
      </w:r>
      <w:r w:rsidR="003850B4">
        <w:t xml:space="preserve"> were relatively large and </w:t>
      </w:r>
      <w:r w:rsidR="00DD775D">
        <w:t>this segment had more accounts enrolled than any other segment</w:t>
      </w:r>
      <w:r w:rsidR="003850B4">
        <w:t xml:space="preserve">.  As was observed for both SCE and PG&amp;E, estimated </w:t>
      </w:r>
      <w:r w:rsidR="00993363">
        <w:t xml:space="preserve">CPP </w:t>
      </w:r>
      <w:r w:rsidR="003850B4">
        <w:t xml:space="preserve">impacts for schools </w:t>
      </w:r>
      <w:r w:rsidR="00993363">
        <w:t xml:space="preserve">at SDG&amp;E </w:t>
      </w:r>
      <w:r w:rsidR="003850B4">
        <w:t>were negligible, even tho</w:t>
      </w:r>
      <w:r w:rsidR="00B3076A">
        <w:t xml:space="preserve">ugh </w:t>
      </w:r>
      <w:r w:rsidR="002F60B8">
        <w:t>S</w:t>
      </w:r>
      <w:r w:rsidR="00B3076A">
        <w:t>chools comprised roughly 20</w:t>
      </w:r>
      <w:r w:rsidR="003850B4">
        <w:t xml:space="preserve">% of the number of participating accounts.  </w:t>
      </w:r>
    </w:p>
    <w:p w:rsidR="00A02128" w:rsidRPr="007836DB" w:rsidRDefault="00B1766B" w:rsidP="00833444">
      <w:pPr>
        <w:pStyle w:val="TableFigureCaption"/>
        <w:rPr>
          <w:sz w:val="18"/>
        </w:rPr>
      </w:pPr>
      <w:r>
        <w:t>Table 6-2</w:t>
      </w:r>
      <w:r w:rsidR="003850B4" w:rsidRPr="00993363">
        <w:t>: Estimat</w:t>
      </w:r>
      <w:r w:rsidR="00A02128" w:rsidRPr="00993363">
        <w:t>ed Ex Post Lo</w:t>
      </w:r>
      <w:r w:rsidR="003850B4" w:rsidRPr="00993363">
        <w:t>ad Impacts by Industry</w:t>
      </w:r>
      <w:r w:rsidR="003850B4" w:rsidRPr="00993363">
        <w:br/>
      </w:r>
      <w:r w:rsidR="00A02128" w:rsidRPr="00993363">
        <w:rPr>
          <w:rFonts w:eastAsia="Times New Roman" w:cs="Arial"/>
          <w:bCs/>
          <w:color w:val="000000"/>
        </w:rPr>
        <w:t>Average 2012 Weekday SDG&amp;E CPP Event</w:t>
      </w:r>
    </w:p>
    <w:tbl>
      <w:tblPr>
        <w:tblW w:w="5000" w:type="pct"/>
        <w:jc w:val="center"/>
        <w:tblLook w:val="04A0" w:firstRow="1" w:lastRow="0" w:firstColumn="1" w:lastColumn="0" w:noHBand="0" w:noVBand="1"/>
      </w:tblPr>
      <w:tblGrid>
        <w:gridCol w:w="2378"/>
        <w:gridCol w:w="1209"/>
        <w:gridCol w:w="744"/>
        <w:gridCol w:w="878"/>
        <w:gridCol w:w="744"/>
        <w:gridCol w:w="878"/>
        <w:gridCol w:w="744"/>
        <w:gridCol w:w="869"/>
        <w:gridCol w:w="1002"/>
      </w:tblGrid>
      <w:tr w:rsidR="00F538E3" w:rsidRPr="007836DB" w:rsidTr="00A72A4C">
        <w:trPr>
          <w:trHeight w:val="764"/>
          <w:jc w:val="center"/>
        </w:trPr>
        <w:tc>
          <w:tcPr>
            <w:tcW w:w="1333" w:type="pct"/>
            <w:tcBorders>
              <w:top w:val="single" w:sz="4" w:space="0" w:color="auto"/>
              <w:left w:val="single" w:sz="4" w:space="0" w:color="auto"/>
              <w:bottom w:val="single" w:sz="4" w:space="0" w:color="000000"/>
              <w:right w:val="single" w:sz="4" w:space="0" w:color="FFFFFF"/>
            </w:tcBorders>
            <w:shd w:val="clear" w:color="000000" w:fill="1F497D"/>
            <w:tcMar>
              <w:left w:w="43" w:type="dxa"/>
              <w:right w:w="43" w:type="dxa"/>
            </w:tcMar>
            <w:vAlign w:val="center"/>
            <w:hideMark/>
          </w:tcPr>
          <w:p w:rsidR="00F538E3" w:rsidRPr="00F538E3" w:rsidRDefault="00F538E3" w:rsidP="00F538E3">
            <w:pPr>
              <w:pStyle w:val="TableHeader"/>
              <w:rPr>
                <w:sz w:val="16"/>
                <w:szCs w:val="16"/>
              </w:rPr>
            </w:pPr>
            <w:r w:rsidRPr="00F538E3">
              <w:rPr>
                <w:sz w:val="16"/>
                <w:szCs w:val="16"/>
              </w:rPr>
              <w:t>Industry</w:t>
            </w:r>
          </w:p>
        </w:tc>
        <w:tc>
          <w:tcPr>
            <w:tcW w:w="715" w:type="pct"/>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F538E3" w:rsidRPr="00F538E3" w:rsidRDefault="00F538E3" w:rsidP="00F538E3">
            <w:pPr>
              <w:pStyle w:val="TableHeader"/>
              <w:rPr>
                <w:sz w:val="16"/>
                <w:szCs w:val="16"/>
              </w:rPr>
            </w:pPr>
            <w:r w:rsidRPr="00F538E3">
              <w:rPr>
                <w:sz w:val="16"/>
                <w:szCs w:val="16"/>
              </w:rPr>
              <w:t>Accounts</w:t>
            </w:r>
          </w:p>
        </w:tc>
        <w:tc>
          <w:tcPr>
            <w:tcW w:w="356" w:type="pct"/>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F538E3" w:rsidRPr="00F538E3" w:rsidRDefault="00F538E3" w:rsidP="00F538E3">
            <w:pPr>
              <w:pStyle w:val="TableHeader"/>
              <w:rPr>
                <w:sz w:val="16"/>
                <w:szCs w:val="16"/>
              </w:rPr>
            </w:pPr>
            <w:r w:rsidRPr="00F538E3">
              <w:rPr>
                <w:sz w:val="16"/>
                <w:szCs w:val="16"/>
              </w:rPr>
              <w:t>% of Program</w:t>
            </w:r>
          </w:p>
        </w:tc>
        <w:tc>
          <w:tcPr>
            <w:tcW w:w="444" w:type="pct"/>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F538E3" w:rsidRPr="00F538E3" w:rsidRDefault="00F538E3" w:rsidP="00F538E3">
            <w:pPr>
              <w:pStyle w:val="TableHeader"/>
              <w:rPr>
                <w:sz w:val="16"/>
                <w:szCs w:val="16"/>
              </w:rPr>
            </w:pPr>
            <w:r w:rsidRPr="00F538E3">
              <w:rPr>
                <w:sz w:val="16"/>
                <w:szCs w:val="16"/>
              </w:rPr>
              <w:t>Aggregate Reference Load</w:t>
            </w:r>
            <w:r>
              <w:rPr>
                <w:sz w:val="16"/>
                <w:szCs w:val="16"/>
              </w:rPr>
              <w:t xml:space="preserve"> </w:t>
            </w:r>
            <w:r w:rsidRPr="00F538E3">
              <w:rPr>
                <w:sz w:val="16"/>
                <w:szCs w:val="16"/>
              </w:rPr>
              <w:t>(MW)</w:t>
            </w:r>
          </w:p>
        </w:tc>
        <w:tc>
          <w:tcPr>
            <w:tcW w:w="381" w:type="pct"/>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F538E3" w:rsidRPr="00F538E3" w:rsidRDefault="00F538E3" w:rsidP="00F538E3">
            <w:pPr>
              <w:pStyle w:val="TableHeader"/>
              <w:rPr>
                <w:sz w:val="16"/>
                <w:szCs w:val="16"/>
              </w:rPr>
            </w:pPr>
            <w:r w:rsidRPr="00F538E3">
              <w:rPr>
                <w:sz w:val="16"/>
                <w:szCs w:val="16"/>
              </w:rPr>
              <w:t>% of Program</w:t>
            </w:r>
          </w:p>
        </w:tc>
        <w:tc>
          <w:tcPr>
            <w:tcW w:w="444" w:type="pct"/>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F538E3" w:rsidRPr="00F538E3" w:rsidRDefault="00F538E3" w:rsidP="00F538E3">
            <w:pPr>
              <w:pStyle w:val="TableHeader"/>
              <w:rPr>
                <w:sz w:val="16"/>
                <w:szCs w:val="16"/>
              </w:rPr>
            </w:pPr>
            <w:r w:rsidRPr="00F538E3">
              <w:rPr>
                <w:sz w:val="16"/>
                <w:szCs w:val="16"/>
              </w:rPr>
              <w:t>Aggregate Impact</w:t>
            </w:r>
            <w:r>
              <w:rPr>
                <w:sz w:val="16"/>
                <w:szCs w:val="16"/>
              </w:rPr>
              <w:t xml:space="preserve"> </w:t>
            </w:r>
            <w:r w:rsidRPr="00F538E3">
              <w:rPr>
                <w:sz w:val="16"/>
                <w:szCs w:val="16"/>
              </w:rPr>
              <w:t>(kW)</w:t>
            </w:r>
          </w:p>
        </w:tc>
        <w:tc>
          <w:tcPr>
            <w:tcW w:w="381" w:type="pct"/>
            <w:tcBorders>
              <w:top w:val="single" w:sz="4" w:space="0" w:color="auto"/>
              <w:left w:val="nil"/>
              <w:bottom w:val="single" w:sz="4" w:space="0" w:color="auto"/>
              <w:right w:val="single" w:sz="4" w:space="0" w:color="FFFFFF"/>
            </w:tcBorders>
            <w:shd w:val="clear" w:color="000000" w:fill="1F497D"/>
            <w:tcMar>
              <w:left w:w="43" w:type="dxa"/>
              <w:right w:w="43" w:type="dxa"/>
            </w:tcMar>
            <w:vAlign w:val="center"/>
            <w:hideMark/>
          </w:tcPr>
          <w:p w:rsidR="00F538E3" w:rsidRPr="00F538E3" w:rsidRDefault="00F538E3" w:rsidP="00F538E3">
            <w:pPr>
              <w:pStyle w:val="TableHeader"/>
              <w:rPr>
                <w:sz w:val="16"/>
                <w:szCs w:val="16"/>
              </w:rPr>
            </w:pPr>
            <w:r w:rsidRPr="00F538E3">
              <w:rPr>
                <w:sz w:val="16"/>
                <w:szCs w:val="16"/>
              </w:rPr>
              <w:t>% of Program</w:t>
            </w:r>
          </w:p>
        </w:tc>
        <w:tc>
          <w:tcPr>
            <w:tcW w:w="441" w:type="pct"/>
            <w:tcBorders>
              <w:top w:val="single" w:sz="4" w:space="0" w:color="auto"/>
              <w:left w:val="single" w:sz="4" w:space="0" w:color="FFFFFF"/>
              <w:bottom w:val="single" w:sz="4" w:space="0" w:color="auto"/>
              <w:right w:val="single" w:sz="4" w:space="0" w:color="FFFFFF"/>
            </w:tcBorders>
            <w:shd w:val="clear" w:color="000000" w:fill="1F497D"/>
            <w:tcMar>
              <w:left w:w="43" w:type="dxa"/>
              <w:right w:w="43" w:type="dxa"/>
            </w:tcMar>
            <w:vAlign w:val="center"/>
            <w:hideMark/>
          </w:tcPr>
          <w:p w:rsidR="00F538E3" w:rsidRPr="00F538E3" w:rsidRDefault="00F538E3" w:rsidP="00F538E3">
            <w:pPr>
              <w:pStyle w:val="TableHeader"/>
              <w:rPr>
                <w:sz w:val="16"/>
                <w:szCs w:val="16"/>
              </w:rPr>
            </w:pPr>
            <w:r w:rsidRPr="00F538E3">
              <w:rPr>
                <w:sz w:val="16"/>
                <w:szCs w:val="16"/>
              </w:rPr>
              <w:t>% Reduction</w:t>
            </w:r>
          </w:p>
        </w:tc>
        <w:tc>
          <w:tcPr>
            <w:tcW w:w="503" w:type="pct"/>
            <w:tcBorders>
              <w:top w:val="single" w:sz="4" w:space="0" w:color="auto"/>
              <w:left w:val="single" w:sz="4" w:space="0" w:color="FFFFFF"/>
              <w:bottom w:val="single" w:sz="4" w:space="0" w:color="auto"/>
              <w:right w:val="single" w:sz="4" w:space="0" w:color="auto"/>
            </w:tcBorders>
            <w:shd w:val="clear" w:color="000000" w:fill="1F497D"/>
            <w:tcMar>
              <w:left w:w="43" w:type="dxa"/>
              <w:right w:w="43" w:type="dxa"/>
            </w:tcMar>
            <w:vAlign w:val="center"/>
            <w:hideMark/>
          </w:tcPr>
          <w:p w:rsidR="00F538E3" w:rsidRPr="00F538E3" w:rsidRDefault="00F538E3" w:rsidP="00F538E3">
            <w:pPr>
              <w:pStyle w:val="TableHeader"/>
              <w:rPr>
                <w:sz w:val="16"/>
                <w:szCs w:val="16"/>
              </w:rPr>
            </w:pPr>
            <w:r w:rsidRPr="00F538E3">
              <w:rPr>
                <w:sz w:val="16"/>
                <w:szCs w:val="16"/>
              </w:rPr>
              <w:t>Stat. Significant?</w:t>
            </w:r>
          </w:p>
        </w:tc>
      </w:tr>
      <w:tr w:rsidR="00F538E3" w:rsidRPr="007836DB" w:rsidTr="00A72A4C">
        <w:trPr>
          <w:trHeight w:val="368"/>
          <w:jc w:val="center"/>
        </w:trPr>
        <w:tc>
          <w:tcPr>
            <w:tcW w:w="1333" w:type="pct"/>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A72A4C">
            <w:pPr>
              <w:pStyle w:val="TableText"/>
              <w:rPr>
                <w:sz w:val="16"/>
                <w:szCs w:val="16"/>
              </w:rPr>
            </w:pPr>
            <w:r w:rsidRPr="00F538E3">
              <w:rPr>
                <w:sz w:val="16"/>
                <w:szCs w:val="16"/>
              </w:rPr>
              <w:t>Offices, Hotels</w:t>
            </w:r>
            <w:r w:rsidR="002F60B8">
              <w:rPr>
                <w:sz w:val="16"/>
                <w:szCs w:val="16"/>
              </w:rPr>
              <w:t>,</w:t>
            </w:r>
            <w:r w:rsidRPr="00F538E3">
              <w:rPr>
                <w:sz w:val="16"/>
                <w:szCs w:val="16"/>
              </w:rPr>
              <w:t xml:space="preserve"> Finance</w:t>
            </w:r>
            <w:r w:rsidR="002F60B8">
              <w:rPr>
                <w:sz w:val="16"/>
                <w:szCs w:val="16"/>
              </w:rPr>
              <w:t xml:space="preserve"> </w:t>
            </w:r>
            <w:r w:rsidR="002F60B8">
              <w:rPr>
                <w:sz w:val="16"/>
                <w:szCs w:val="16"/>
              </w:rPr>
              <w:br/>
              <w:t>&amp; Services</w:t>
            </w:r>
          </w:p>
        </w:tc>
        <w:tc>
          <w:tcPr>
            <w:tcW w:w="715" w:type="pct"/>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345</w:t>
            </w:r>
          </w:p>
        </w:tc>
        <w:tc>
          <w:tcPr>
            <w:tcW w:w="356" w:type="pct"/>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31.5%</w:t>
            </w:r>
          </w:p>
        </w:tc>
        <w:tc>
          <w:tcPr>
            <w:tcW w:w="444" w:type="pct"/>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134.9</w:t>
            </w:r>
          </w:p>
        </w:tc>
        <w:tc>
          <w:tcPr>
            <w:tcW w:w="381" w:type="pct"/>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45.7%</w:t>
            </w:r>
          </w:p>
        </w:tc>
        <w:tc>
          <w:tcPr>
            <w:tcW w:w="444" w:type="pct"/>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5.3</w:t>
            </w:r>
          </w:p>
        </w:tc>
        <w:tc>
          <w:tcPr>
            <w:tcW w:w="381" w:type="pct"/>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31.6%</w:t>
            </w:r>
          </w:p>
        </w:tc>
        <w:tc>
          <w:tcPr>
            <w:tcW w:w="441" w:type="pct"/>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3.9%</w:t>
            </w:r>
          </w:p>
        </w:tc>
        <w:tc>
          <w:tcPr>
            <w:tcW w:w="503" w:type="pct"/>
            <w:tcBorders>
              <w:top w:val="single" w:sz="4" w:space="0" w:color="auto"/>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Yes</w:t>
            </w:r>
          </w:p>
        </w:tc>
      </w:tr>
      <w:tr w:rsidR="00F538E3" w:rsidRPr="007836DB" w:rsidTr="00A72A4C">
        <w:trPr>
          <w:trHeight w:val="368"/>
          <w:jc w:val="center"/>
        </w:trPr>
        <w:tc>
          <w:tcPr>
            <w:tcW w:w="1333" w:type="pct"/>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Institutional/Government</w:t>
            </w:r>
          </w:p>
        </w:tc>
        <w:tc>
          <w:tcPr>
            <w:tcW w:w="715"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130</w:t>
            </w:r>
          </w:p>
        </w:tc>
        <w:tc>
          <w:tcPr>
            <w:tcW w:w="356"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11.8%</w:t>
            </w:r>
          </w:p>
        </w:tc>
        <w:tc>
          <w:tcPr>
            <w:tcW w:w="444"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30.7</w:t>
            </w:r>
          </w:p>
        </w:tc>
        <w:tc>
          <w:tcPr>
            <w:tcW w:w="38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10.4%</w:t>
            </w:r>
          </w:p>
        </w:tc>
        <w:tc>
          <w:tcPr>
            <w:tcW w:w="444"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3.3</w:t>
            </w:r>
          </w:p>
        </w:tc>
        <w:tc>
          <w:tcPr>
            <w:tcW w:w="38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19.7%</w:t>
            </w:r>
          </w:p>
        </w:tc>
        <w:tc>
          <w:tcPr>
            <w:tcW w:w="44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10.7%</w:t>
            </w:r>
          </w:p>
        </w:tc>
        <w:tc>
          <w:tcPr>
            <w:tcW w:w="503"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Yes</w:t>
            </w:r>
          </w:p>
        </w:tc>
      </w:tr>
      <w:tr w:rsidR="00F538E3" w:rsidRPr="007836DB" w:rsidTr="00A72A4C">
        <w:trPr>
          <w:trHeight w:val="368"/>
          <w:jc w:val="center"/>
        </w:trPr>
        <w:tc>
          <w:tcPr>
            <w:tcW w:w="1333" w:type="pct"/>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A72A4C">
            <w:pPr>
              <w:pStyle w:val="TableText"/>
              <w:rPr>
                <w:sz w:val="16"/>
                <w:szCs w:val="16"/>
              </w:rPr>
            </w:pPr>
            <w:r w:rsidRPr="00F538E3">
              <w:rPr>
                <w:sz w:val="16"/>
                <w:szCs w:val="16"/>
              </w:rPr>
              <w:t>Wholesale</w:t>
            </w:r>
            <w:r w:rsidR="002F60B8">
              <w:rPr>
                <w:sz w:val="16"/>
                <w:szCs w:val="16"/>
              </w:rPr>
              <w:t xml:space="preserve">, </w:t>
            </w:r>
            <w:r w:rsidR="00A72A4C">
              <w:rPr>
                <w:sz w:val="16"/>
                <w:szCs w:val="16"/>
              </w:rPr>
              <w:t>Transport</w:t>
            </w:r>
            <w:r w:rsidR="002F60B8">
              <w:rPr>
                <w:sz w:val="16"/>
                <w:szCs w:val="16"/>
              </w:rPr>
              <w:t xml:space="preserve"> &amp; </w:t>
            </w:r>
            <w:r w:rsidR="002F60B8">
              <w:rPr>
                <w:sz w:val="16"/>
                <w:szCs w:val="16"/>
              </w:rPr>
              <w:br/>
              <w:t>Other Utilities</w:t>
            </w:r>
          </w:p>
        </w:tc>
        <w:tc>
          <w:tcPr>
            <w:tcW w:w="715"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154</w:t>
            </w:r>
          </w:p>
        </w:tc>
        <w:tc>
          <w:tcPr>
            <w:tcW w:w="356"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14.0%</w:t>
            </w:r>
          </w:p>
        </w:tc>
        <w:tc>
          <w:tcPr>
            <w:tcW w:w="444"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25.6</w:t>
            </w:r>
          </w:p>
        </w:tc>
        <w:tc>
          <w:tcPr>
            <w:tcW w:w="38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8.7%</w:t>
            </w:r>
          </w:p>
        </w:tc>
        <w:tc>
          <w:tcPr>
            <w:tcW w:w="444"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3.1</w:t>
            </w:r>
          </w:p>
        </w:tc>
        <w:tc>
          <w:tcPr>
            <w:tcW w:w="38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18.4%</w:t>
            </w:r>
          </w:p>
        </w:tc>
        <w:tc>
          <w:tcPr>
            <w:tcW w:w="44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12.0%</w:t>
            </w:r>
          </w:p>
        </w:tc>
        <w:tc>
          <w:tcPr>
            <w:tcW w:w="503"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Yes</w:t>
            </w:r>
          </w:p>
        </w:tc>
      </w:tr>
      <w:tr w:rsidR="00F538E3" w:rsidRPr="007836DB" w:rsidTr="00A72A4C">
        <w:trPr>
          <w:trHeight w:val="368"/>
          <w:jc w:val="center"/>
        </w:trPr>
        <w:tc>
          <w:tcPr>
            <w:tcW w:w="1333" w:type="pct"/>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Manufacturing</w:t>
            </w:r>
          </w:p>
        </w:tc>
        <w:tc>
          <w:tcPr>
            <w:tcW w:w="715"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150</w:t>
            </w:r>
          </w:p>
        </w:tc>
        <w:tc>
          <w:tcPr>
            <w:tcW w:w="356"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13.7%</w:t>
            </w:r>
          </w:p>
        </w:tc>
        <w:tc>
          <w:tcPr>
            <w:tcW w:w="444"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47.7</w:t>
            </w:r>
          </w:p>
        </w:tc>
        <w:tc>
          <w:tcPr>
            <w:tcW w:w="38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16.2%</w:t>
            </w:r>
          </w:p>
        </w:tc>
        <w:tc>
          <w:tcPr>
            <w:tcW w:w="444"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2.6</w:t>
            </w:r>
          </w:p>
        </w:tc>
        <w:tc>
          <w:tcPr>
            <w:tcW w:w="38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15.3%</w:t>
            </w:r>
          </w:p>
        </w:tc>
        <w:tc>
          <w:tcPr>
            <w:tcW w:w="44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5.4%</w:t>
            </w:r>
          </w:p>
        </w:tc>
        <w:tc>
          <w:tcPr>
            <w:tcW w:w="503"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Yes</w:t>
            </w:r>
          </w:p>
        </w:tc>
      </w:tr>
      <w:tr w:rsidR="00F538E3" w:rsidRPr="007836DB" w:rsidTr="00A72A4C">
        <w:trPr>
          <w:trHeight w:val="368"/>
          <w:jc w:val="center"/>
        </w:trPr>
        <w:tc>
          <w:tcPr>
            <w:tcW w:w="1333" w:type="pct"/>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Retail Stores</w:t>
            </w:r>
          </w:p>
        </w:tc>
        <w:tc>
          <w:tcPr>
            <w:tcW w:w="715"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96</w:t>
            </w:r>
          </w:p>
        </w:tc>
        <w:tc>
          <w:tcPr>
            <w:tcW w:w="356"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8.8%</w:t>
            </w:r>
          </w:p>
        </w:tc>
        <w:tc>
          <w:tcPr>
            <w:tcW w:w="444"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28.9</w:t>
            </w:r>
          </w:p>
        </w:tc>
        <w:tc>
          <w:tcPr>
            <w:tcW w:w="38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9.8%</w:t>
            </w:r>
          </w:p>
        </w:tc>
        <w:tc>
          <w:tcPr>
            <w:tcW w:w="444"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2.2</w:t>
            </w:r>
          </w:p>
        </w:tc>
        <w:tc>
          <w:tcPr>
            <w:tcW w:w="38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13.1%</w:t>
            </w:r>
          </w:p>
        </w:tc>
        <w:tc>
          <w:tcPr>
            <w:tcW w:w="44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7.6%</w:t>
            </w:r>
          </w:p>
        </w:tc>
        <w:tc>
          <w:tcPr>
            <w:tcW w:w="503"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Yes</w:t>
            </w:r>
          </w:p>
        </w:tc>
      </w:tr>
      <w:tr w:rsidR="00F538E3" w:rsidRPr="007836DB" w:rsidTr="00A72A4C">
        <w:trPr>
          <w:trHeight w:val="368"/>
          <w:jc w:val="center"/>
        </w:trPr>
        <w:tc>
          <w:tcPr>
            <w:tcW w:w="1333" w:type="pct"/>
            <w:tcBorders>
              <w:top w:val="nil"/>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Schools</w:t>
            </w:r>
          </w:p>
        </w:tc>
        <w:tc>
          <w:tcPr>
            <w:tcW w:w="715"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222</w:t>
            </w:r>
          </w:p>
        </w:tc>
        <w:tc>
          <w:tcPr>
            <w:tcW w:w="356"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20.2%</w:t>
            </w:r>
          </w:p>
        </w:tc>
        <w:tc>
          <w:tcPr>
            <w:tcW w:w="444"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27.3</w:t>
            </w:r>
          </w:p>
        </w:tc>
        <w:tc>
          <w:tcPr>
            <w:tcW w:w="38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9.3%</w:t>
            </w:r>
          </w:p>
        </w:tc>
        <w:tc>
          <w:tcPr>
            <w:tcW w:w="444"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0.3</w:t>
            </w:r>
          </w:p>
        </w:tc>
        <w:tc>
          <w:tcPr>
            <w:tcW w:w="38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1.9%</w:t>
            </w:r>
          </w:p>
        </w:tc>
        <w:tc>
          <w:tcPr>
            <w:tcW w:w="441"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1.1%</w:t>
            </w:r>
          </w:p>
        </w:tc>
        <w:tc>
          <w:tcPr>
            <w:tcW w:w="503" w:type="pct"/>
            <w:tcBorders>
              <w:top w:val="nil"/>
              <w:left w:val="nil"/>
              <w:bottom w:val="single" w:sz="4" w:space="0" w:color="auto"/>
              <w:right w:val="single" w:sz="4" w:space="0" w:color="auto"/>
            </w:tcBorders>
            <w:shd w:val="clear" w:color="auto" w:fill="auto"/>
            <w:noWrap/>
            <w:tcMar>
              <w:left w:w="43" w:type="dxa"/>
              <w:right w:w="43" w:type="dxa"/>
            </w:tcMar>
            <w:vAlign w:val="center"/>
            <w:hideMark/>
          </w:tcPr>
          <w:p w:rsidR="00C55672" w:rsidRPr="00F538E3" w:rsidRDefault="00C55672" w:rsidP="00F538E3">
            <w:pPr>
              <w:pStyle w:val="TableText"/>
              <w:rPr>
                <w:sz w:val="16"/>
                <w:szCs w:val="16"/>
              </w:rPr>
            </w:pPr>
            <w:r w:rsidRPr="00F538E3">
              <w:rPr>
                <w:sz w:val="16"/>
                <w:szCs w:val="16"/>
              </w:rPr>
              <w:t>No</w:t>
            </w:r>
          </w:p>
        </w:tc>
      </w:tr>
    </w:tbl>
    <w:p w:rsidR="003850B4" w:rsidRDefault="003850B4" w:rsidP="00F538E3">
      <w:pPr>
        <w:pStyle w:val="BodyParaAfterTableFigure"/>
      </w:pPr>
      <w:r>
        <w:t xml:space="preserve">The majority of the load was concentrated in the </w:t>
      </w:r>
      <w:r w:rsidR="002F60B8">
        <w:t>Offices, Hotels, Finances &amp; Services</w:t>
      </w:r>
      <w:r>
        <w:t xml:space="preserve"> sector.  These are typically office b</w:t>
      </w:r>
      <w:r w:rsidR="00993363">
        <w:t>uildings.  They accounted for 46</w:t>
      </w:r>
      <w:r>
        <w:t xml:space="preserve">% of the estimated reference load </w:t>
      </w:r>
      <w:r w:rsidR="00B3076A">
        <w:t>(</w:t>
      </w:r>
      <w:r>
        <w:t>1</w:t>
      </w:r>
      <w:r w:rsidR="00B3076A">
        <w:t>34.9</w:t>
      </w:r>
      <w:r w:rsidR="00993363">
        <w:t xml:space="preserve"> MW) and produced 32</w:t>
      </w:r>
      <w:r>
        <w:t xml:space="preserve">% of the load reduction (5.3 MW).  However, this sector also had the most participants, and on average </w:t>
      </w:r>
      <w:r w:rsidR="00B3076A">
        <w:t>offices only reduced load by 4</w:t>
      </w:r>
      <w:r>
        <w:t xml:space="preserve">%.  In contrast, the </w:t>
      </w:r>
      <w:r w:rsidR="002F60B8">
        <w:t>M</w:t>
      </w:r>
      <w:r>
        <w:t xml:space="preserve">anufacturing and </w:t>
      </w:r>
      <w:r w:rsidR="002F60B8">
        <w:t>W</w:t>
      </w:r>
      <w:r>
        <w:t xml:space="preserve">holesale, </w:t>
      </w:r>
      <w:r w:rsidR="002F60B8">
        <w:t>T</w:t>
      </w:r>
      <w:r>
        <w:t xml:space="preserve">ransport </w:t>
      </w:r>
      <w:r w:rsidR="002F60B8">
        <w:t>&amp;</w:t>
      </w:r>
      <w:r>
        <w:t xml:space="preserve"> </w:t>
      </w:r>
      <w:r w:rsidR="002F60B8">
        <w:t>O</w:t>
      </w:r>
      <w:r>
        <w:t xml:space="preserve">ther </w:t>
      </w:r>
      <w:r w:rsidR="002F60B8">
        <w:t>U</w:t>
      </w:r>
      <w:r>
        <w:t>tilities s</w:t>
      </w:r>
      <w:r w:rsidR="00993363">
        <w:t>ectors together accounted for 25</w:t>
      </w:r>
      <w:r w:rsidR="00B3076A">
        <w:t>% of the reference load (73.3MW) but produced 34</w:t>
      </w:r>
      <w:r>
        <w:t>% of the impact</w:t>
      </w:r>
      <w:r w:rsidR="00B3076A">
        <w:t>s (5.7</w:t>
      </w:r>
      <w:r>
        <w:t xml:space="preserve"> MW).</w:t>
      </w:r>
    </w:p>
    <w:p w:rsidR="00993363" w:rsidRPr="00D963CC" w:rsidRDefault="00993363" w:rsidP="00F538E3">
      <w:pPr>
        <w:pStyle w:val="TableFigureCaption"/>
      </w:pPr>
      <w:r>
        <w:lastRenderedPageBreak/>
        <w:t>Figure 6</w:t>
      </w:r>
      <w:r w:rsidR="00B1766B">
        <w:t>-4</w:t>
      </w:r>
      <w:r w:rsidRPr="00D963CC">
        <w:t xml:space="preserve">: Estimated Enrollment, Load Impacts and </w:t>
      </w:r>
      <w:r w:rsidR="009B22A5">
        <w:t>Percent</w:t>
      </w:r>
      <w:r w:rsidRPr="00D963CC">
        <w:t xml:space="preserve"> Load Reduction by Industry</w:t>
      </w:r>
      <w:r w:rsidRPr="00D963CC">
        <w:br/>
        <w:t xml:space="preserve">Average 2012 </w:t>
      </w:r>
      <w:r>
        <w:t>SD</w:t>
      </w:r>
      <w:r w:rsidRPr="00D963CC">
        <w:t>G&amp;E CPP Event</w:t>
      </w:r>
    </w:p>
    <w:p w:rsidR="00993363" w:rsidRPr="00993363" w:rsidRDefault="001E3B5B" w:rsidP="00993363">
      <w:pPr>
        <w:pStyle w:val="BodyParagraph"/>
      </w:pPr>
      <w:r>
        <w:rPr>
          <w:noProof/>
        </w:rPr>
        <w:drawing>
          <wp:inline distT="0" distB="0" distL="0" distR="0" wp14:anchorId="0A737D4F" wp14:editId="0B9B0862">
            <wp:extent cx="5589767" cy="3498945"/>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88592" cy="3498210"/>
                    </a:xfrm>
                    <a:prstGeom prst="rect">
                      <a:avLst/>
                    </a:prstGeom>
                    <a:noFill/>
                    <a:ln>
                      <a:noFill/>
                    </a:ln>
                  </pic:spPr>
                </pic:pic>
              </a:graphicData>
            </a:graphic>
          </wp:inline>
        </w:drawing>
      </w:r>
    </w:p>
    <w:p w:rsidR="003850B4" w:rsidRDefault="003850B4" w:rsidP="00F538E3">
      <w:pPr>
        <w:pStyle w:val="Heading2"/>
        <w:spacing w:before="360"/>
      </w:pPr>
      <w:bookmarkStart w:id="133" w:name="_Toc326072124"/>
      <w:bookmarkStart w:id="134" w:name="_Toc352323648"/>
      <w:r>
        <w:t>Load Impacts by Customer Size</w:t>
      </w:r>
      <w:bookmarkEnd w:id="133"/>
      <w:bookmarkEnd w:id="134"/>
    </w:p>
    <w:p w:rsidR="001E3B5B" w:rsidRDefault="00B1766B" w:rsidP="00340FC0">
      <w:pPr>
        <w:pStyle w:val="BodyParagraph"/>
      </w:pPr>
      <w:r>
        <w:t xml:space="preserve">Table 6-3 </w:t>
      </w:r>
      <w:r w:rsidR="00DD775D">
        <w:t>shows the estimated ex post load impact by customer size, for five customer segments determined by average hourly consumption</w:t>
      </w:r>
      <w:r w:rsidR="002F60B8">
        <w:t>.</w:t>
      </w:r>
      <w:r w:rsidR="00DD775D">
        <w:rPr>
          <w:rStyle w:val="FootnoteReference"/>
        </w:rPr>
        <w:footnoteReference w:id="24"/>
      </w:r>
      <w:r>
        <w:t xml:space="preserve"> </w:t>
      </w:r>
      <w:r w:rsidR="003850B4">
        <w:t xml:space="preserve"> Participants with average usage over 5</w:t>
      </w:r>
      <w:r w:rsidR="003850B4" w:rsidRPr="00D13343">
        <w:t>0</w:t>
      </w:r>
      <w:r w:rsidR="003850B4">
        <w:t xml:space="preserve">0 kW provided the largest </w:t>
      </w:r>
      <w:r>
        <w:t xml:space="preserve">reference load (1,251 kW) and </w:t>
      </w:r>
      <w:r w:rsidR="003850B4">
        <w:t>absolute av</w:t>
      </w:r>
      <w:r>
        <w:t>erage impact per customer (60.2 kW)</w:t>
      </w:r>
      <w:r w:rsidR="003850B4">
        <w:t xml:space="preserve">. </w:t>
      </w:r>
      <w:r w:rsidR="0005510D">
        <w:t xml:space="preserve"> </w:t>
      </w:r>
      <w:r>
        <w:t>However, the greatest aggregate impact, 6.4 MW, came from the 200</w:t>
      </w:r>
      <w:r w:rsidR="00502446">
        <w:t>–</w:t>
      </w:r>
      <w:r>
        <w:t>500 kW group.  The largest percent reductions, 8.0%, were delivered by the 50</w:t>
      </w:r>
      <w:r w:rsidR="00502446">
        <w:t>–</w:t>
      </w:r>
      <w:r>
        <w:t>100 kW customers.  The 100</w:t>
      </w:r>
      <w:r w:rsidR="00502446">
        <w:t>–</w:t>
      </w:r>
      <w:r>
        <w:t>200 kW customers produce</w:t>
      </w:r>
      <w:r w:rsidR="0089394C">
        <w:t>d</w:t>
      </w:r>
      <w:r>
        <w:t xml:space="preserve"> the least percentage impacts</w:t>
      </w:r>
      <w:r w:rsidR="0089394C">
        <w:t xml:space="preserve"> (</w:t>
      </w:r>
      <w:r>
        <w:t>3.8%</w:t>
      </w:r>
      <w:r w:rsidR="0089394C">
        <w:t xml:space="preserve">). </w:t>
      </w:r>
      <w:r w:rsidR="00F538E3">
        <w:br w:type="page"/>
      </w:r>
    </w:p>
    <w:p w:rsidR="00A02128" w:rsidRDefault="00B1766B" w:rsidP="00F538E3">
      <w:pPr>
        <w:pStyle w:val="TableFigureCaption"/>
        <w:rPr>
          <w:rFonts w:eastAsia="Times New Roman" w:cs="Arial"/>
          <w:bCs/>
          <w:color w:val="000000"/>
        </w:rPr>
      </w:pPr>
      <w:r>
        <w:lastRenderedPageBreak/>
        <w:t>Table 6-3</w:t>
      </w:r>
      <w:r w:rsidR="003850B4" w:rsidRPr="004A318B">
        <w:t>: Estimated Ex Post Load Impacts by Customer Size</w:t>
      </w:r>
      <w:r w:rsidR="003850B4" w:rsidRPr="004A318B">
        <w:br/>
      </w:r>
      <w:r w:rsidR="00A02128" w:rsidRPr="004A318B">
        <w:rPr>
          <w:rFonts w:eastAsia="Times New Roman" w:cs="Arial"/>
          <w:bCs/>
          <w:color w:val="000000"/>
        </w:rPr>
        <w:t>Average 2012 Weekday SDG&amp;E CPP Event</w:t>
      </w:r>
    </w:p>
    <w:tbl>
      <w:tblPr>
        <w:tblW w:w="48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757"/>
        <w:gridCol w:w="1088"/>
        <w:gridCol w:w="1056"/>
        <w:gridCol w:w="797"/>
        <w:gridCol w:w="1106"/>
        <w:gridCol w:w="1095"/>
        <w:gridCol w:w="747"/>
        <w:gridCol w:w="1227"/>
      </w:tblGrid>
      <w:tr w:rsidR="00564E9A" w:rsidRPr="001C4623" w:rsidTr="00564E9A">
        <w:trPr>
          <w:trHeight w:val="1335"/>
        </w:trPr>
        <w:tc>
          <w:tcPr>
            <w:tcW w:w="744" w:type="pct"/>
            <w:tcBorders>
              <w:right w:val="single" w:sz="4" w:space="0" w:color="FFFFFF" w:themeColor="background1"/>
            </w:tcBorders>
            <w:shd w:val="clear" w:color="000000" w:fill="1F497D"/>
            <w:vAlign w:val="center"/>
          </w:tcPr>
          <w:p w:rsidR="00564E9A" w:rsidRPr="00564E9A" w:rsidRDefault="00564E9A" w:rsidP="00564E9A">
            <w:pPr>
              <w:pStyle w:val="TableHeader"/>
              <w:rPr>
                <w:sz w:val="16"/>
                <w:szCs w:val="16"/>
              </w:rPr>
            </w:pPr>
            <w:r w:rsidRPr="00564E9A">
              <w:rPr>
                <w:sz w:val="16"/>
                <w:szCs w:val="16"/>
              </w:rPr>
              <w:t>Consumption</w:t>
            </w:r>
            <w:r w:rsidRPr="00564E9A">
              <w:rPr>
                <w:sz w:val="16"/>
                <w:szCs w:val="16"/>
              </w:rPr>
              <w:br/>
              <w:t>Size Category</w:t>
            </w:r>
            <w:r w:rsidRPr="00564E9A">
              <w:rPr>
                <w:sz w:val="16"/>
                <w:szCs w:val="16"/>
              </w:rPr>
              <w:br/>
              <w:t>(Annual kWh/hr)</w:t>
            </w:r>
          </w:p>
        </w:tc>
        <w:tc>
          <w:tcPr>
            <w:tcW w:w="409" w:type="pct"/>
            <w:tcBorders>
              <w:left w:val="single" w:sz="4" w:space="0" w:color="FFFFFF" w:themeColor="background1"/>
              <w:right w:val="single" w:sz="4" w:space="0" w:color="FFFFFF" w:themeColor="background1"/>
            </w:tcBorders>
            <w:shd w:val="clear" w:color="000000" w:fill="1F497D"/>
            <w:vAlign w:val="center"/>
            <w:hideMark/>
          </w:tcPr>
          <w:p w:rsidR="00564E9A" w:rsidRPr="00564E9A" w:rsidRDefault="00564E9A" w:rsidP="001C4623">
            <w:pPr>
              <w:pStyle w:val="TableHeader"/>
              <w:rPr>
                <w:sz w:val="16"/>
                <w:szCs w:val="16"/>
              </w:rPr>
            </w:pPr>
            <w:r w:rsidRPr="00564E9A">
              <w:rPr>
                <w:sz w:val="16"/>
                <w:szCs w:val="16"/>
              </w:rPr>
              <w:t>Accts.</w:t>
            </w:r>
          </w:p>
        </w:tc>
        <w:tc>
          <w:tcPr>
            <w:tcW w:w="588" w:type="pct"/>
            <w:tcBorders>
              <w:left w:val="single" w:sz="4" w:space="0" w:color="FFFFFF" w:themeColor="background1"/>
              <w:right w:val="single" w:sz="4" w:space="0" w:color="FFFFFF" w:themeColor="background1"/>
            </w:tcBorders>
            <w:shd w:val="clear" w:color="000000" w:fill="1F497D"/>
            <w:vAlign w:val="center"/>
            <w:hideMark/>
          </w:tcPr>
          <w:p w:rsidR="00564E9A" w:rsidRPr="00564E9A" w:rsidRDefault="00564E9A" w:rsidP="00564E9A">
            <w:pPr>
              <w:pStyle w:val="TableHeader"/>
              <w:rPr>
                <w:sz w:val="16"/>
                <w:szCs w:val="16"/>
              </w:rPr>
            </w:pPr>
            <w:r w:rsidRPr="00564E9A">
              <w:rPr>
                <w:sz w:val="16"/>
                <w:szCs w:val="16"/>
              </w:rPr>
              <w:t>Avg. Customer Reference Load</w:t>
            </w:r>
            <w:r w:rsidRPr="00564E9A">
              <w:rPr>
                <w:sz w:val="16"/>
                <w:szCs w:val="16"/>
              </w:rPr>
              <w:br/>
              <w:t>(kW)</w:t>
            </w:r>
          </w:p>
        </w:tc>
        <w:tc>
          <w:tcPr>
            <w:tcW w:w="571" w:type="pct"/>
            <w:tcBorders>
              <w:left w:val="single" w:sz="4" w:space="0" w:color="FFFFFF" w:themeColor="background1"/>
              <w:right w:val="single" w:sz="4" w:space="0" w:color="FFFFFF" w:themeColor="background1"/>
            </w:tcBorders>
            <w:shd w:val="clear" w:color="000000" w:fill="1F497D"/>
            <w:vAlign w:val="center"/>
            <w:hideMark/>
          </w:tcPr>
          <w:p w:rsidR="00564E9A" w:rsidRPr="00564E9A" w:rsidRDefault="00564E9A" w:rsidP="00564E9A">
            <w:pPr>
              <w:pStyle w:val="TableHeader"/>
              <w:rPr>
                <w:sz w:val="16"/>
                <w:szCs w:val="16"/>
              </w:rPr>
            </w:pPr>
            <w:r w:rsidRPr="00564E9A">
              <w:rPr>
                <w:sz w:val="16"/>
                <w:szCs w:val="16"/>
              </w:rPr>
              <w:t>Avg. Customer Load w/ DR</w:t>
            </w:r>
            <w:r w:rsidRPr="00564E9A">
              <w:rPr>
                <w:sz w:val="16"/>
                <w:szCs w:val="16"/>
              </w:rPr>
              <w:br/>
              <w:t>(kW)</w:t>
            </w:r>
          </w:p>
        </w:tc>
        <w:tc>
          <w:tcPr>
            <w:tcW w:w="431" w:type="pct"/>
            <w:tcBorders>
              <w:left w:val="single" w:sz="4" w:space="0" w:color="FFFFFF" w:themeColor="background1"/>
              <w:right w:val="single" w:sz="4" w:space="0" w:color="FFFFFF" w:themeColor="background1"/>
            </w:tcBorders>
            <w:shd w:val="clear" w:color="000000" w:fill="1F497D"/>
            <w:vAlign w:val="center"/>
            <w:hideMark/>
          </w:tcPr>
          <w:p w:rsidR="00564E9A" w:rsidRPr="00564E9A" w:rsidRDefault="00564E9A" w:rsidP="00564E9A">
            <w:pPr>
              <w:pStyle w:val="TableHeader"/>
              <w:rPr>
                <w:sz w:val="16"/>
                <w:szCs w:val="16"/>
              </w:rPr>
            </w:pPr>
            <w:r w:rsidRPr="00564E9A">
              <w:rPr>
                <w:sz w:val="16"/>
                <w:szCs w:val="16"/>
              </w:rPr>
              <w:t>Impact</w:t>
            </w:r>
            <w:r w:rsidRPr="00564E9A">
              <w:rPr>
                <w:sz w:val="16"/>
                <w:szCs w:val="16"/>
              </w:rPr>
              <w:br/>
              <w:t>(kW)</w:t>
            </w:r>
          </w:p>
        </w:tc>
        <w:tc>
          <w:tcPr>
            <w:tcW w:w="598" w:type="pct"/>
            <w:tcBorders>
              <w:left w:val="single" w:sz="4" w:space="0" w:color="FFFFFF" w:themeColor="background1"/>
              <w:right w:val="single" w:sz="4" w:space="0" w:color="FFFFFF" w:themeColor="background1"/>
            </w:tcBorders>
            <w:shd w:val="clear" w:color="000000" w:fill="1F497D"/>
            <w:vAlign w:val="center"/>
            <w:hideMark/>
          </w:tcPr>
          <w:p w:rsidR="00564E9A" w:rsidRPr="00564E9A" w:rsidRDefault="00564E9A" w:rsidP="00564E9A">
            <w:pPr>
              <w:pStyle w:val="TableHeader"/>
              <w:rPr>
                <w:sz w:val="16"/>
                <w:szCs w:val="16"/>
              </w:rPr>
            </w:pPr>
            <w:r w:rsidRPr="00564E9A">
              <w:rPr>
                <w:sz w:val="16"/>
                <w:szCs w:val="16"/>
              </w:rPr>
              <w:t>Aggregate Impact</w:t>
            </w:r>
            <w:r w:rsidRPr="00564E9A">
              <w:rPr>
                <w:sz w:val="16"/>
                <w:szCs w:val="16"/>
              </w:rPr>
              <w:br/>
              <w:t>(MW)</w:t>
            </w:r>
          </w:p>
        </w:tc>
        <w:tc>
          <w:tcPr>
            <w:tcW w:w="592" w:type="pct"/>
            <w:tcBorders>
              <w:left w:val="single" w:sz="4" w:space="0" w:color="FFFFFF" w:themeColor="background1"/>
              <w:right w:val="single" w:sz="4" w:space="0" w:color="FFFFFF" w:themeColor="background1"/>
            </w:tcBorders>
            <w:shd w:val="clear" w:color="000000" w:fill="1F497D"/>
            <w:vAlign w:val="center"/>
            <w:hideMark/>
          </w:tcPr>
          <w:p w:rsidR="00564E9A" w:rsidRPr="00564E9A" w:rsidRDefault="00564E9A" w:rsidP="00564E9A">
            <w:pPr>
              <w:pStyle w:val="TableHeader"/>
              <w:rPr>
                <w:sz w:val="16"/>
                <w:szCs w:val="16"/>
              </w:rPr>
            </w:pPr>
            <w:r w:rsidRPr="00564E9A">
              <w:rPr>
                <w:sz w:val="16"/>
                <w:szCs w:val="16"/>
              </w:rPr>
              <w:t>% Reduction</w:t>
            </w:r>
            <w:r w:rsidRPr="00564E9A">
              <w:rPr>
                <w:sz w:val="16"/>
                <w:szCs w:val="16"/>
              </w:rPr>
              <w:br/>
              <w:t>%</w:t>
            </w:r>
          </w:p>
        </w:tc>
        <w:tc>
          <w:tcPr>
            <w:tcW w:w="404" w:type="pct"/>
            <w:tcBorders>
              <w:left w:val="single" w:sz="4" w:space="0" w:color="FFFFFF" w:themeColor="background1"/>
              <w:right w:val="single" w:sz="4" w:space="0" w:color="FFFFFF" w:themeColor="background1"/>
            </w:tcBorders>
            <w:shd w:val="clear" w:color="000000" w:fill="1F497D"/>
            <w:vAlign w:val="center"/>
            <w:hideMark/>
          </w:tcPr>
          <w:p w:rsidR="00564E9A" w:rsidRPr="00564E9A" w:rsidRDefault="00564E9A" w:rsidP="00564E9A">
            <w:pPr>
              <w:pStyle w:val="TableHeader"/>
              <w:rPr>
                <w:sz w:val="16"/>
                <w:szCs w:val="16"/>
              </w:rPr>
            </w:pPr>
            <w:r w:rsidRPr="00564E9A">
              <w:rPr>
                <w:sz w:val="16"/>
                <w:szCs w:val="16"/>
              </w:rPr>
              <w:t>Avg. Temp.</w:t>
            </w:r>
            <w:r w:rsidRPr="00564E9A">
              <w:rPr>
                <w:sz w:val="16"/>
                <w:szCs w:val="16"/>
              </w:rPr>
              <w:br/>
              <w:t>°F</w:t>
            </w:r>
          </w:p>
        </w:tc>
        <w:tc>
          <w:tcPr>
            <w:tcW w:w="663" w:type="pct"/>
            <w:tcBorders>
              <w:left w:val="single" w:sz="4" w:space="0" w:color="FFFFFF" w:themeColor="background1"/>
            </w:tcBorders>
            <w:shd w:val="clear" w:color="000000" w:fill="1F497D"/>
            <w:vAlign w:val="center"/>
            <w:hideMark/>
          </w:tcPr>
          <w:p w:rsidR="00564E9A" w:rsidRPr="00564E9A" w:rsidRDefault="00564E9A" w:rsidP="001C4623">
            <w:pPr>
              <w:pStyle w:val="TableHeader"/>
              <w:rPr>
                <w:sz w:val="16"/>
                <w:szCs w:val="16"/>
              </w:rPr>
            </w:pPr>
            <w:r w:rsidRPr="00564E9A">
              <w:rPr>
                <w:sz w:val="16"/>
                <w:szCs w:val="16"/>
              </w:rPr>
              <w:t>Stat. significant?</w:t>
            </w:r>
          </w:p>
        </w:tc>
      </w:tr>
      <w:tr w:rsidR="00C82C6B" w:rsidRPr="00471E92" w:rsidTr="00564E9A">
        <w:trPr>
          <w:trHeight w:val="310"/>
        </w:trPr>
        <w:tc>
          <w:tcPr>
            <w:tcW w:w="744" w:type="pct"/>
            <w:vAlign w:val="center"/>
          </w:tcPr>
          <w:p w:rsidR="00C82C6B" w:rsidRPr="00564E9A" w:rsidRDefault="00C82C6B" w:rsidP="001C4623">
            <w:pPr>
              <w:pStyle w:val="TableText"/>
              <w:rPr>
                <w:sz w:val="16"/>
                <w:szCs w:val="16"/>
              </w:rPr>
            </w:pPr>
            <w:r w:rsidRPr="00564E9A">
              <w:rPr>
                <w:sz w:val="16"/>
                <w:szCs w:val="16"/>
              </w:rPr>
              <w:t>Over 500 kWh/hr</w:t>
            </w:r>
          </w:p>
        </w:tc>
        <w:tc>
          <w:tcPr>
            <w:tcW w:w="409"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79</w:t>
            </w:r>
          </w:p>
        </w:tc>
        <w:tc>
          <w:tcPr>
            <w:tcW w:w="588"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1,251.4</w:t>
            </w:r>
          </w:p>
        </w:tc>
        <w:tc>
          <w:tcPr>
            <w:tcW w:w="571"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1,191.2</w:t>
            </w:r>
          </w:p>
        </w:tc>
        <w:tc>
          <w:tcPr>
            <w:tcW w:w="431"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60.2</w:t>
            </w:r>
          </w:p>
        </w:tc>
        <w:tc>
          <w:tcPr>
            <w:tcW w:w="598"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4.8</w:t>
            </w:r>
          </w:p>
        </w:tc>
        <w:tc>
          <w:tcPr>
            <w:tcW w:w="592"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4.8%</w:t>
            </w:r>
          </w:p>
        </w:tc>
        <w:tc>
          <w:tcPr>
            <w:tcW w:w="404"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80.9</w:t>
            </w:r>
          </w:p>
        </w:tc>
        <w:tc>
          <w:tcPr>
            <w:tcW w:w="663"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Yes</w:t>
            </w:r>
          </w:p>
        </w:tc>
      </w:tr>
      <w:tr w:rsidR="00C82C6B" w:rsidRPr="00471E92" w:rsidTr="00564E9A">
        <w:trPr>
          <w:trHeight w:val="310"/>
        </w:trPr>
        <w:tc>
          <w:tcPr>
            <w:tcW w:w="744" w:type="pct"/>
            <w:vAlign w:val="center"/>
          </w:tcPr>
          <w:p w:rsidR="00C82C6B" w:rsidRPr="00564E9A" w:rsidRDefault="00C82C6B" w:rsidP="001C4623">
            <w:pPr>
              <w:pStyle w:val="TableText"/>
              <w:rPr>
                <w:sz w:val="16"/>
                <w:szCs w:val="16"/>
              </w:rPr>
            </w:pPr>
            <w:r w:rsidRPr="00564E9A">
              <w:rPr>
                <w:sz w:val="16"/>
                <w:szCs w:val="16"/>
              </w:rPr>
              <w:t>200</w:t>
            </w:r>
            <w:r w:rsidR="00502446" w:rsidRPr="00564E9A">
              <w:rPr>
                <w:sz w:val="16"/>
                <w:szCs w:val="16"/>
              </w:rPr>
              <w:t>–</w:t>
            </w:r>
            <w:r w:rsidRPr="00564E9A">
              <w:rPr>
                <w:sz w:val="16"/>
                <w:szCs w:val="16"/>
              </w:rPr>
              <w:t>500 kWh/hr</w:t>
            </w:r>
          </w:p>
        </w:tc>
        <w:tc>
          <w:tcPr>
            <w:tcW w:w="409"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221</w:t>
            </w:r>
          </w:p>
        </w:tc>
        <w:tc>
          <w:tcPr>
            <w:tcW w:w="588"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431.7</w:t>
            </w:r>
          </w:p>
        </w:tc>
        <w:tc>
          <w:tcPr>
            <w:tcW w:w="571"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402.9</w:t>
            </w:r>
          </w:p>
        </w:tc>
        <w:tc>
          <w:tcPr>
            <w:tcW w:w="431"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28.9</w:t>
            </w:r>
          </w:p>
        </w:tc>
        <w:tc>
          <w:tcPr>
            <w:tcW w:w="598"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6.4</w:t>
            </w:r>
          </w:p>
        </w:tc>
        <w:tc>
          <w:tcPr>
            <w:tcW w:w="592"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6.7%</w:t>
            </w:r>
          </w:p>
        </w:tc>
        <w:tc>
          <w:tcPr>
            <w:tcW w:w="404"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80.0</w:t>
            </w:r>
          </w:p>
        </w:tc>
        <w:tc>
          <w:tcPr>
            <w:tcW w:w="663"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Yes</w:t>
            </w:r>
          </w:p>
        </w:tc>
      </w:tr>
      <w:tr w:rsidR="00C82C6B" w:rsidRPr="00471E92" w:rsidTr="00564E9A">
        <w:trPr>
          <w:trHeight w:val="310"/>
        </w:trPr>
        <w:tc>
          <w:tcPr>
            <w:tcW w:w="744" w:type="pct"/>
            <w:vAlign w:val="center"/>
          </w:tcPr>
          <w:p w:rsidR="00C82C6B" w:rsidRPr="00564E9A" w:rsidRDefault="00C82C6B" w:rsidP="001C4623">
            <w:pPr>
              <w:pStyle w:val="TableText"/>
              <w:rPr>
                <w:sz w:val="16"/>
                <w:szCs w:val="16"/>
              </w:rPr>
            </w:pPr>
            <w:r w:rsidRPr="00564E9A">
              <w:rPr>
                <w:sz w:val="16"/>
                <w:szCs w:val="16"/>
              </w:rPr>
              <w:t>100</w:t>
            </w:r>
            <w:r w:rsidR="00502446" w:rsidRPr="00564E9A">
              <w:rPr>
                <w:sz w:val="16"/>
                <w:szCs w:val="16"/>
              </w:rPr>
              <w:t>–</w:t>
            </w:r>
            <w:r w:rsidRPr="00564E9A">
              <w:rPr>
                <w:sz w:val="16"/>
                <w:szCs w:val="16"/>
              </w:rPr>
              <w:t>200 kWh/hr</w:t>
            </w:r>
          </w:p>
        </w:tc>
        <w:tc>
          <w:tcPr>
            <w:tcW w:w="409"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270</w:t>
            </w:r>
          </w:p>
        </w:tc>
        <w:tc>
          <w:tcPr>
            <w:tcW w:w="588"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226.4</w:t>
            </w:r>
          </w:p>
        </w:tc>
        <w:tc>
          <w:tcPr>
            <w:tcW w:w="571"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217.8</w:t>
            </w:r>
          </w:p>
        </w:tc>
        <w:tc>
          <w:tcPr>
            <w:tcW w:w="431"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8.7</w:t>
            </w:r>
          </w:p>
        </w:tc>
        <w:tc>
          <w:tcPr>
            <w:tcW w:w="598"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2.3</w:t>
            </w:r>
          </w:p>
        </w:tc>
        <w:tc>
          <w:tcPr>
            <w:tcW w:w="592"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3.8%</w:t>
            </w:r>
          </w:p>
        </w:tc>
        <w:tc>
          <w:tcPr>
            <w:tcW w:w="404"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80.2</w:t>
            </w:r>
          </w:p>
        </w:tc>
        <w:tc>
          <w:tcPr>
            <w:tcW w:w="663"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Yes</w:t>
            </w:r>
          </w:p>
        </w:tc>
      </w:tr>
      <w:tr w:rsidR="00C82C6B" w:rsidRPr="00471E92" w:rsidTr="00564E9A">
        <w:trPr>
          <w:trHeight w:val="310"/>
        </w:trPr>
        <w:tc>
          <w:tcPr>
            <w:tcW w:w="744" w:type="pct"/>
            <w:vAlign w:val="center"/>
          </w:tcPr>
          <w:p w:rsidR="00C82C6B" w:rsidRPr="00564E9A" w:rsidRDefault="00C82C6B" w:rsidP="001C4623">
            <w:pPr>
              <w:pStyle w:val="TableText"/>
              <w:rPr>
                <w:sz w:val="16"/>
                <w:szCs w:val="16"/>
              </w:rPr>
            </w:pPr>
            <w:r w:rsidRPr="00564E9A">
              <w:rPr>
                <w:sz w:val="16"/>
                <w:szCs w:val="16"/>
              </w:rPr>
              <w:t>50</w:t>
            </w:r>
            <w:r w:rsidR="00502446" w:rsidRPr="00564E9A">
              <w:rPr>
                <w:sz w:val="16"/>
                <w:szCs w:val="16"/>
              </w:rPr>
              <w:t>–</w:t>
            </w:r>
            <w:r w:rsidRPr="00564E9A">
              <w:rPr>
                <w:sz w:val="16"/>
                <w:szCs w:val="16"/>
              </w:rPr>
              <w:t>100 kWh/hr</w:t>
            </w:r>
          </w:p>
        </w:tc>
        <w:tc>
          <w:tcPr>
            <w:tcW w:w="409"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245</w:t>
            </w:r>
          </w:p>
        </w:tc>
        <w:tc>
          <w:tcPr>
            <w:tcW w:w="588"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134.5</w:t>
            </w:r>
          </w:p>
        </w:tc>
        <w:tc>
          <w:tcPr>
            <w:tcW w:w="571"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123.8</w:t>
            </w:r>
          </w:p>
        </w:tc>
        <w:tc>
          <w:tcPr>
            <w:tcW w:w="431"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10.7</w:t>
            </w:r>
          </w:p>
        </w:tc>
        <w:tc>
          <w:tcPr>
            <w:tcW w:w="598"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2.6</w:t>
            </w:r>
          </w:p>
        </w:tc>
        <w:tc>
          <w:tcPr>
            <w:tcW w:w="592"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8.0%</w:t>
            </w:r>
          </w:p>
        </w:tc>
        <w:tc>
          <w:tcPr>
            <w:tcW w:w="404"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81.2</w:t>
            </w:r>
          </w:p>
        </w:tc>
        <w:tc>
          <w:tcPr>
            <w:tcW w:w="663"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Yes</w:t>
            </w:r>
          </w:p>
        </w:tc>
      </w:tr>
      <w:tr w:rsidR="00C82C6B" w:rsidRPr="00471E92" w:rsidTr="00564E9A">
        <w:trPr>
          <w:trHeight w:val="310"/>
        </w:trPr>
        <w:tc>
          <w:tcPr>
            <w:tcW w:w="744" w:type="pct"/>
            <w:vAlign w:val="center"/>
          </w:tcPr>
          <w:p w:rsidR="00C82C6B" w:rsidRPr="00564E9A" w:rsidRDefault="00C82C6B" w:rsidP="001C4623">
            <w:pPr>
              <w:pStyle w:val="TableText"/>
              <w:rPr>
                <w:sz w:val="16"/>
                <w:szCs w:val="16"/>
              </w:rPr>
            </w:pPr>
            <w:r w:rsidRPr="00564E9A">
              <w:rPr>
                <w:sz w:val="16"/>
                <w:szCs w:val="16"/>
              </w:rPr>
              <w:t>Under 50 kWh/hr</w:t>
            </w:r>
          </w:p>
        </w:tc>
        <w:tc>
          <w:tcPr>
            <w:tcW w:w="409"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302</w:t>
            </w:r>
          </w:p>
        </w:tc>
        <w:tc>
          <w:tcPr>
            <w:tcW w:w="588"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34.7</w:t>
            </w:r>
          </w:p>
        </w:tc>
        <w:tc>
          <w:tcPr>
            <w:tcW w:w="571"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32.6</w:t>
            </w:r>
          </w:p>
        </w:tc>
        <w:tc>
          <w:tcPr>
            <w:tcW w:w="431"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2.1</w:t>
            </w:r>
          </w:p>
        </w:tc>
        <w:tc>
          <w:tcPr>
            <w:tcW w:w="598"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0.6</w:t>
            </w:r>
          </w:p>
        </w:tc>
        <w:tc>
          <w:tcPr>
            <w:tcW w:w="592"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6.1%</w:t>
            </w:r>
          </w:p>
        </w:tc>
        <w:tc>
          <w:tcPr>
            <w:tcW w:w="404"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80.1</w:t>
            </w:r>
          </w:p>
        </w:tc>
        <w:tc>
          <w:tcPr>
            <w:tcW w:w="663" w:type="pct"/>
            <w:shd w:val="clear" w:color="auto" w:fill="auto"/>
            <w:noWrap/>
            <w:vAlign w:val="center"/>
            <w:hideMark/>
          </w:tcPr>
          <w:p w:rsidR="00C82C6B" w:rsidRPr="00564E9A" w:rsidRDefault="00C82C6B" w:rsidP="001C4623">
            <w:pPr>
              <w:pStyle w:val="TableText"/>
              <w:rPr>
                <w:sz w:val="16"/>
                <w:szCs w:val="16"/>
              </w:rPr>
            </w:pPr>
            <w:r w:rsidRPr="00564E9A">
              <w:rPr>
                <w:sz w:val="16"/>
                <w:szCs w:val="16"/>
              </w:rPr>
              <w:t>Yes</w:t>
            </w:r>
          </w:p>
        </w:tc>
      </w:tr>
    </w:tbl>
    <w:p w:rsidR="003850B4" w:rsidRDefault="003850B4" w:rsidP="00F538E3">
      <w:pPr>
        <w:pStyle w:val="Heading2"/>
        <w:spacing w:before="360"/>
      </w:pPr>
      <w:bookmarkStart w:id="135" w:name="_Toc352323649"/>
      <w:r>
        <w:t xml:space="preserve">Load </w:t>
      </w:r>
      <w:r w:rsidRPr="00B42F39">
        <w:t>Impacts</w:t>
      </w:r>
      <w:r>
        <w:t xml:space="preserve"> for Multi-DR P</w:t>
      </w:r>
      <w:r>
        <w:rPr>
          <w:rFonts w:hint="eastAsia"/>
        </w:rPr>
        <w:t>rogra</w:t>
      </w:r>
      <w:r>
        <w:t>m Participant</w:t>
      </w:r>
      <w:r w:rsidR="008629BE">
        <w:t>s</w:t>
      </w:r>
      <w:bookmarkEnd w:id="135"/>
      <w:r>
        <w:t xml:space="preserve"> </w:t>
      </w:r>
    </w:p>
    <w:p w:rsidR="00160EBB" w:rsidRDefault="0089394C" w:rsidP="00B42F39">
      <w:pPr>
        <w:pStyle w:val="BodyParagraph"/>
      </w:pPr>
      <w:r>
        <w:t>Table 6-4</w:t>
      </w:r>
      <w:r w:rsidR="003850B4">
        <w:t xml:space="preserve"> shows load impacts for SDG&amp;E customers who were dually enrolled in other DR programs</w:t>
      </w:r>
      <w:r w:rsidR="00B3076A">
        <w:t xml:space="preserve"> in</w:t>
      </w:r>
      <w:r w:rsidR="00394A69">
        <w:t> </w:t>
      </w:r>
      <w:r w:rsidR="00B3076A">
        <w:t>2012</w:t>
      </w:r>
      <w:r w:rsidR="003850B4">
        <w:t xml:space="preserve">.  </w:t>
      </w:r>
      <w:r>
        <w:t>SDG&amp;E’s CPP population has</w:t>
      </w:r>
      <w:r w:rsidR="00160EBB">
        <w:t xml:space="preserve"> dual enrollment with three other demand response programs</w:t>
      </w:r>
      <w:r>
        <w:t xml:space="preserve"> in</w:t>
      </w:r>
      <w:r w:rsidR="00394A69">
        <w:t> </w:t>
      </w:r>
      <w:r>
        <w:t>2012</w:t>
      </w:r>
      <w:r w:rsidR="00160EBB">
        <w:t>: BIP, CBP and the Clean Gener</w:t>
      </w:r>
      <w:r w:rsidR="00DD775D">
        <w:t xml:space="preserve">ation Program (CGP).  </w:t>
      </w:r>
      <w:r w:rsidR="00160EBB">
        <w:t xml:space="preserve">BIP and CBP are </w:t>
      </w:r>
      <w:r w:rsidR="009F0C34">
        <w:t>im</w:t>
      </w:r>
      <w:r w:rsidR="006772E8">
        <w:t>p</w:t>
      </w:r>
      <w:r w:rsidR="009F0C34">
        <w:t>lemented at SDG&amp;E the same way as they are at PG&amp;E</w:t>
      </w:r>
      <w:r w:rsidR="00DD775D">
        <w:t xml:space="preserve"> (see </w:t>
      </w:r>
      <w:r w:rsidR="00AB0FC8">
        <w:t>section 4.5 for a description of BIP and CBP</w:t>
      </w:r>
      <w:r w:rsidR="00DD775D">
        <w:t>)</w:t>
      </w:r>
      <w:r w:rsidR="009F0C34">
        <w:t>.</w:t>
      </w:r>
      <w:r w:rsidR="00F06346">
        <w:t xml:space="preserve">  SDG&amp;E’s CGP </w:t>
      </w:r>
      <w:r w:rsidR="00C35770">
        <w:t>consists of a capacity contract with EnerNOC, Inc.  The contract provides for the aggregation of large C&amp;I customer sta</w:t>
      </w:r>
      <w:r w:rsidR="00DD775D">
        <w:t xml:space="preserve">ndby generators to be called </w:t>
      </w:r>
      <w:r w:rsidR="00C35770">
        <w:t xml:space="preserve">to support the SDG&amp;E grid during times of peak demand.  Backup generators controlled by this program have been fitted with California Air </w:t>
      </w:r>
      <w:r w:rsidR="00394A69">
        <w:t>Resources</w:t>
      </w:r>
      <w:r w:rsidR="00C35770">
        <w:t xml:space="preserve"> Board-approved diesel particulate filters and have been specially permitted by the San Diego County Air Pollution Control District.  However, since the program </w:t>
      </w:r>
      <w:r w:rsidR="00F06346">
        <w:t>relies on customer</w:t>
      </w:r>
      <w:r w:rsidR="00C35770">
        <w:t xml:space="preserve"> g</w:t>
      </w:r>
      <w:r w:rsidR="00F06346">
        <w:t>enerat</w:t>
      </w:r>
      <w:r w:rsidR="00C35770">
        <w:t>ion</w:t>
      </w:r>
      <w:r w:rsidR="00F06346">
        <w:t>, it is not considered a demand response program.</w:t>
      </w:r>
      <w:r w:rsidR="00C35770">
        <w:t xml:space="preserve">   </w:t>
      </w:r>
    </w:p>
    <w:p w:rsidR="00A97AA9" w:rsidRDefault="009F0C34" w:rsidP="00160EBB">
      <w:pPr>
        <w:pStyle w:val="BodyParagraph"/>
      </w:pPr>
      <w:r>
        <w:t xml:space="preserve">Despite the fact that </w:t>
      </w:r>
      <w:r w:rsidR="0089394C">
        <w:t xml:space="preserve">some </w:t>
      </w:r>
      <w:r w:rsidR="00C205FA">
        <w:t xml:space="preserve">of </w:t>
      </w:r>
      <w:r>
        <w:t>these load impact estimates may be statistically significant, remember that the</w:t>
      </w:r>
      <w:r w:rsidR="0089394C">
        <w:t>se</w:t>
      </w:r>
      <w:r>
        <w:t xml:space="preserve"> </w:t>
      </w:r>
      <w:r w:rsidR="00160EBB">
        <w:t xml:space="preserve">estimates </w:t>
      </w:r>
      <w:r>
        <w:t xml:space="preserve">are developed with data from very few customers. </w:t>
      </w:r>
      <w:r w:rsidR="00394A69">
        <w:t xml:space="preserve"> </w:t>
      </w:r>
      <w:r>
        <w:t xml:space="preserve">These estimates should </w:t>
      </w:r>
      <w:r w:rsidR="00C205FA">
        <w:t>o</w:t>
      </w:r>
      <w:r>
        <w:t xml:space="preserve">nly </w:t>
      </w:r>
      <w:r w:rsidR="00C205FA">
        <w:t xml:space="preserve">be </w:t>
      </w:r>
      <w:r>
        <w:t>cited with caution so as not to infer that some DR programs generally produce more CPP load impacts than others, or that dually</w:t>
      </w:r>
      <w:r w:rsidR="00502446">
        <w:t xml:space="preserve"> </w:t>
      </w:r>
      <w:r>
        <w:t>enrolled customers generally produce more load impacts than non</w:t>
      </w:r>
      <w:r w:rsidR="00564E9A">
        <w:noBreakHyphen/>
      </w:r>
      <w:r>
        <w:t>dually enrolled customers.  There simply isn’t enough data to support those conclusions.</w:t>
      </w:r>
    </w:p>
    <w:p w:rsidR="00BE5AA0" w:rsidRDefault="00160EBB">
      <w:pPr>
        <w:pStyle w:val="TableFigureCaption"/>
      </w:pPr>
      <w:r w:rsidRPr="00F538E3">
        <w:t>Table 6-</w:t>
      </w:r>
      <w:r w:rsidR="00394A69">
        <w:t>4</w:t>
      </w:r>
      <w:r w:rsidRPr="00F538E3">
        <w:t>: Estimated Ex Post Load Impacts CPP Participants Enrolled in Other DR Programs</w:t>
      </w:r>
      <w:r w:rsidRPr="00F538E3">
        <w:br/>
        <w:t>Average 2012 PG&amp;E CPP Event</w:t>
      </w:r>
    </w:p>
    <w:tbl>
      <w:tblPr>
        <w:tblW w:w="5000" w:type="pct"/>
        <w:tblLayout w:type="fixed"/>
        <w:tblLook w:val="04A0" w:firstRow="1" w:lastRow="0" w:firstColumn="1" w:lastColumn="0" w:noHBand="0" w:noVBand="1"/>
      </w:tblPr>
      <w:tblGrid>
        <w:gridCol w:w="1187"/>
        <w:gridCol w:w="1025"/>
        <w:gridCol w:w="1406"/>
        <w:gridCol w:w="1440"/>
        <w:gridCol w:w="810"/>
        <w:gridCol w:w="1080"/>
        <w:gridCol w:w="810"/>
        <w:gridCol w:w="724"/>
        <w:gridCol w:w="1094"/>
      </w:tblGrid>
      <w:tr w:rsidR="00A97AA9" w:rsidRPr="00160EBB" w:rsidTr="00A97AA9">
        <w:trPr>
          <w:trHeight w:val="674"/>
        </w:trPr>
        <w:tc>
          <w:tcPr>
            <w:tcW w:w="620" w:type="pct"/>
            <w:tcBorders>
              <w:top w:val="single" w:sz="4" w:space="0" w:color="000000"/>
              <w:left w:val="single" w:sz="4" w:space="0" w:color="000000"/>
              <w:bottom w:val="single" w:sz="4" w:space="0" w:color="FFFFFF"/>
              <w:right w:val="single" w:sz="4" w:space="0" w:color="FFFFFF"/>
            </w:tcBorders>
            <w:shd w:val="clear" w:color="000000" w:fill="1F497D"/>
            <w:vAlign w:val="center"/>
            <w:hideMark/>
          </w:tcPr>
          <w:p w:rsidR="005D51F9" w:rsidRDefault="00F538E3" w:rsidP="00A907B2">
            <w:pPr>
              <w:pStyle w:val="TableHeader"/>
              <w:rPr>
                <w:rFonts w:eastAsia="Times New Roman" w:cs="Times New Roman"/>
                <w:sz w:val="16"/>
                <w:szCs w:val="16"/>
              </w:rPr>
            </w:pPr>
            <w:r w:rsidRPr="00F538E3">
              <w:rPr>
                <w:sz w:val="16"/>
                <w:szCs w:val="16"/>
              </w:rPr>
              <w:t>Dually</w:t>
            </w:r>
            <w:r w:rsidR="00502446">
              <w:rPr>
                <w:sz w:val="16"/>
                <w:szCs w:val="16"/>
              </w:rPr>
              <w:t xml:space="preserve"> </w:t>
            </w:r>
            <w:r w:rsidRPr="00F538E3">
              <w:rPr>
                <w:sz w:val="16"/>
                <w:szCs w:val="16"/>
              </w:rPr>
              <w:t>enrolled DR Program</w:t>
            </w:r>
          </w:p>
        </w:tc>
        <w:tc>
          <w:tcPr>
            <w:tcW w:w="535" w:type="pct"/>
            <w:tcBorders>
              <w:top w:val="single" w:sz="4" w:space="0" w:color="000000"/>
              <w:left w:val="single" w:sz="4" w:space="0" w:color="FFFFFF"/>
              <w:bottom w:val="single" w:sz="4" w:space="0" w:color="000000"/>
              <w:right w:val="single" w:sz="4" w:space="0" w:color="FFFFFF"/>
            </w:tcBorders>
            <w:shd w:val="clear" w:color="000000" w:fill="1F497D"/>
            <w:vAlign w:val="center"/>
            <w:hideMark/>
          </w:tcPr>
          <w:p w:rsidR="00F538E3" w:rsidRPr="00F538E3" w:rsidRDefault="00F538E3" w:rsidP="00F538E3">
            <w:pPr>
              <w:pStyle w:val="TableHeader"/>
              <w:rPr>
                <w:sz w:val="16"/>
                <w:szCs w:val="16"/>
              </w:rPr>
            </w:pPr>
            <w:r w:rsidRPr="00F538E3">
              <w:rPr>
                <w:sz w:val="16"/>
                <w:szCs w:val="16"/>
              </w:rPr>
              <w:t>Accounts</w:t>
            </w:r>
          </w:p>
        </w:tc>
        <w:tc>
          <w:tcPr>
            <w:tcW w:w="734" w:type="pct"/>
            <w:tcBorders>
              <w:top w:val="single" w:sz="4" w:space="0" w:color="000000"/>
              <w:left w:val="nil"/>
              <w:bottom w:val="single" w:sz="4" w:space="0" w:color="auto"/>
              <w:right w:val="single" w:sz="4" w:space="0" w:color="FFFFFF"/>
            </w:tcBorders>
            <w:shd w:val="clear" w:color="000000" w:fill="1F497D"/>
            <w:vAlign w:val="center"/>
            <w:hideMark/>
          </w:tcPr>
          <w:p w:rsidR="00F538E3" w:rsidRPr="00F538E3" w:rsidRDefault="00F538E3" w:rsidP="00F538E3">
            <w:pPr>
              <w:pStyle w:val="TableHeader"/>
              <w:rPr>
                <w:sz w:val="16"/>
                <w:szCs w:val="16"/>
              </w:rPr>
            </w:pPr>
            <w:r w:rsidRPr="00F538E3">
              <w:rPr>
                <w:sz w:val="16"/>
                <w:szCs w:val="16"/>
              </w:rPr>
              <w:t>Avg. Customer Reference Load</w:t>
            </w:r>
            <w:r>
              <w:rPr>
                <w:sz w:val="16"/>
                <w:szCs w:val="16"/>
              </w:rPr>
              <w:t xml:space="preserve"> </w:t>
            </w:r>
            <w:r w:rsidRPr="00F538E3">
              <w:rPr>
                <w:sz w:val="16"/>
                <w:szCs w:val="16"/>
              </w:rPr>
              <w:t>(kW)</w:t>
            </w:r>
          </w:p>
        </w:tc>
        <w:tc>
          <w:tcPr>
            <w:tcW w:w="752" w:type="pct"/>
            <w:tcBorders>
              <w:top w:val="single" w:sz="4" w:space="0" w:color="000000"/>
              <w:left w:val="nil"/>
              <w:bottom w:val="single" w:sz="4" w:space="0" w:color="auto"/>
              <w:right w:val="single" w:sz="4" w:space="0" w:color="FFFFFF"/>
            </w:tcBorders>
            <w:shd w:val="clear" w:color="000000" w:fill="1F497D"/>
            <w:vAlign w:val="center"/>
            <w:hideMark/>
          </w:tcPr>
          <w:p w:rsidR="00F538E3" w:rsidRPr="00F538E3" w:rsidRDefault="00F538E3" w:rsidP="00F538E3">
            <w:pPr>
              <w:pStyle w:val="TableHeader"/>
              <w:rPr>
                <w:sz w:val="16"/>
                <w:szCs w:val="16"/>
              </w:rPr>
            </w:pPr>
            <w:r w:rsidRPr="00F538E3">
              <w:rPr>
                <w:sz w:val="16"/>
                <w:szCs w:val="16"/>
              </w:rPr>
              <w:t>Avg. Customer Load w/ DR</w:t>
            </w:r>
            <w:r>
              <w:rPr>
                <w:sz w:val="16"/>
                <w:szCs w:val="16"/>
              </w:rPr>
              <w:t xml:space="preserve"> </w:t>
            </w:r>
            <w:r w:rsidRPr="00F538E3">
              <w:rPr>
                <w:sz w:val="16"/>
                <w:szCs w:val="16"/>
              </w:rPr>
              <w:t>(kW)</w:t>
            </w:r>
          </w:p>
        </w:tc>
        <w:tc>
          <w:tcPr>
            <w:tcW w:w="423" w:type="pct"/>
            <w:tcBorders>
              <w:top w:val="single" w:sz="4" w:space="0" w:color="000000"/>
              <w:left w:val="nil"/>
              <w:bottom w:val="single" w:sz="4" w:space="0" w:color="auto"/>
              <w:right w:val="single" w:sz="4" w:space="0" w:color="FFFFFF"/>
            </w:tcBorders>
            <w:shd w:val="clear" w:color="000000" w:fill="1F497D"/>
            <w:vAlign w:val="center"/>
            <w:hideMark/>
          </w:tcPr>
          <w:p w:rsidR="00F538E3" w:rsidRPr="00F538E3" w:rsidRDefault="00F538E3" w:rsidP="00F538E3">
            <w:pPr>
              <w:pStyle w:val="TableHeader"/>
              <w:rPr>
                <w:sz w:val="16"/>
                <w:szCs w:val="16"/>
              </w:rPr>
            </w:pPr>
            <w:r w:rsidRPr="00F538E3">
              <w:rPr>
                <w:sz w:val="16"/>
                <w:szCs w:val="16"/>
              </w:rPr>
              <w:t>Impact</w:t>
            </w:r>
            <w:r>
              <w:rPr>
                <w:sz w:val="16"/>
                <w:szCs w:val="16"/>
              </w:rPr>
              <w:t xml:space="preserve"> </w:t>
            </w:r>
            <w:r w:rsidRPr="00F538E3">
              <w:rPr>
                <w:sz w:val="16"/>
                <w:szCs w:val="16"/>
              </w:rPr>
              <w:t>(kW)</w:t>
            </w:r>
          </w:p>
        </w:tc>
        <w:tc>
          <w:tcPr>
            <w:tcW w:w="564" w:type="pct"/>
            <w:tcBorders>
              <w:top w:val="single" w:sz="4" w:space="0" w:color="000000"/>
              <w:left w:val="nil"/>
              <w:bottom w:val="single" w:sz="4" w:space="0" w:color="auto"/>
              <w:right w:val="single" w:sz="4" w:space="0" w:color="FFFFFF"/>
            </w:tcBorders>
            <w:shd w:val="clear" w:color="000000" w:fill="1F497D"/>
            <w:vAlign w:val="center"/>
            <w:hideMark/>
          </w:tcPr>
          <w:p w:rsidR="00F538E3" w:rsidRPr="00F538E3" w:rsidRDefault="00F538E3" w:rsidP="00F538E3">
            <w:pPr>
              <w:pStyle w:val="TableHeader"/>
              <w:rPr>
                <w:sz w:val="16"/>
                <w:szCs w:val="16"/>
              </w:rPr>
            </w:pPr>
            <w:r w:rsidRPr="00F538E3">
              <w:rPr>
                <w:sz w:val="16"/>
                <w:szCs w:val="16"/>
              </w:rPr>
              <w:t>Aggregate Impact</w:t>
            </w:r>
            <w:r>
              <w:rPr>
                <w:sz w:val="16"/>
                <w:szCs w:val="16"/>
              </w:rPr>
              <w:t xml:space="preserve"> </w:t>
            </w:r>
            <w:r w:rsidRPr="00F538E3">
              <w:rPr>
                <w:sz w:val="16"/>
                <w:szCs w:val="16"/>
              </w:rPr>
              <w:t>(MW)</w:t>
            </w:r>
          </w:p>
        </w:tc>
        <w:tc>
          <w:tcPr>
            <w:tcW w:w="423" w:type="pct"/>
            <w:tcBorders>
              <w:top w:val="single" w:sz="4" w:space="0" w:color="000000"/>
              <w:left w:val="nil"/>
              <w:bottom w:val="single" w:sz="4" w:space="0" w:color="auto"/>
              <w:right w:val="single" w:sz="4" w:space="0" w:color="FFFFFF"/>
            </w:tcBorders>
            <w:shd w:val="clear" w:color="000000" w:fill="1F497D"/>
            <w:vAlign w:val="center"/>
            <w:hideMark/>
          </w:tcPr>
          <w:p w:rsidR="00F538E3" w:rsidRPr="00F538E3" w:rsidRDefault="00F538E3" w:rsidP="00F538E3">
            <w:pPr>
              <w:pStyle w:val="TableHeader"/>
              <w:rPr>
                <w:sz w:val="16"/>
                <w:szCs w:val="16"/>
              </w:rPr>
            </w:pPr>
            <w:r w:rsidRPr="00F538E3">
              <w:rPr>
                <w:sz w:val="16"/>
                <w:szCs w:val="16"/>
              </w:rPr>
              <w:t xml:space="preserve"> Reduc</w:t>
            </w:r>
            <w:r w:rsidR="00A97AA9">
              <w:rPr>
                <w:sz w:val="16"/>
                <w:szCs w:val="16"/>
              </w:rPr>
              <w:t>-</w:t>
            </w:r>
            <w:r w:rsidRPr="00F538E3">
              <w:rPr>
                <w:sz w:val="16"/>
                <w:szCs w:val="16"/>
              </w:rPr>
              <w:t>tion</w:t>
            </w:r>
            <w:r>
              <w:rPr>
                <w:sz w:val="16"/>
                <w:szCs w:val="16"/>
              </w:rPr>
              <w:t xml:space="preserve"> </w:t>
            </w:r>
            <w:r w:rsidRPr="00F538E3">
              <w:rPr>
                <w:sz w:val="16"/>
                <w:szCs w:val="16"/>
              </w:rPr>
              <w:t>%</w:t>
            </w:r>
          </w:p>
        </w:tc>
        <w:tc>
          <w:tcPr>
            <w:tcW w:w="378" w:type="pct"/>
            <w:tcBorders>
              <w:top w:val="single" w:sz="4" w:space="0" w:color="000000"/>
              <w:left w:val="nil"/>
              <w:bottom w:val="single" w:sz="4" w:space="0" w:color="auto"/>
              <w:right w:val="single" w:sz="4" w:space="0" w:color="FFFFFF"/>
            </w:tcBorders>
            <w:shd w:val="clear" w:color="000000" w:fill="1F497D"/>
            <w:vAlign w:val="center"/>
            <w:hideMark/>
          </w:tcPr>
          <w:p w:rsidR="00F538E3" w:rsidRPr="00F538E3" w:rsidRDefault="00F538E3" w:rsidP="00F538E3">
            <w:pPr>
              <w:pStyle w:val="TableHeader"/>
              <w:rPr>
                <w:sz w:val="16"/>
                <w:szCs w:val="16"/>
              </w:rPr>
            </w:pPr>
            <w:r w:rsidRPr="00F538E3">
              <w:rPr>
                <w:sz w:val="16"/>
                <w:szCs w:val="16"/>
              </w:rPr>
              <w:t>Avg. Temp</w:t>
            </w:r>
            <w:r w:rsidR="005656CE">
              <w:rPr>
                <w:sz w:val="16"/>
                <w:szCs w:val="16"/>
              </w:rPr>
              <w:t xml:space="preserve"> </w:t>
            </w:r>
            <w:r w:rsidRPr="00F538E3">
              <w:rPr>
                <w:sz w:val="16"/>
                <w:szCs w:val="16"/>
              </w:rPr>
              <w:t>°F</w:t>
            </w:r>
          </w:p>
        </w:tc>
        <w:tc>
          <w:tcPr>
            <w:tcW w:w="571" w:type="pct"/>
            <w:tcBorders>
              <w:top w:val="single" w:sz="4" w:space="0" w:color="000000"/>
              <w:left w:val="single" w:sz="4" w:space="0" w:color="FFFFFF"/>
              <w:bottom w:val="single" w:sz="4" w:space="0" w:color="000000"/>
              <w:right w:val="single" w:sz="4" w:space="0" w:color="000000"/>
            </w:tcBorders>
            <w:shd w:val="clear" w:color="000000" w:fill="1F497D"/>
            <w:vAlign w:val="center"/>
            <w:hideMark/>
          </w:tcPr>
          <w:p w:rsidR="00F538E3" w:rsidRPr="00F538E3" w:rsidRDefault="00F538E3" w:rsidP="00F538E3">
            <w:pPr>
              <w:pStyle w:val="TableHeader"/>
              <w:rPr>
                <w:sz w:val="16"/>
                <w:szCs w:val="16"/>
              </w:rPr>
            </w:pPr>
            <w:r w:rsidRPr="00F538E3">
              <w:rPr>
                <w:sz w:val="16"/>
                <w:szCs w:val="16"/>
              </w:rPr>
              <w:t>Stat. significant?</w:t>
            </w:r>
          </w:p>
        </w:tc>
      </w:tr>
      <w:tr w:rsidR="00A97AA9" w:rsidRPr="00160EBB" w:rsidTr="00A97AA9">
        <w:trPr>
          <w:trHeight w:val="302"/>
        </w:trPr>
        <w:tc>
          <w:tcPr>
            <w:tcW w:w="6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60EBB" w:rsidRPr="00F538E3" w:rsidRDefault="00160EBB" w:rsidP="00F538E3">
            <w:pPr>
              <w:pStyle w:val="TableText"/>
              <w:rPr>
                <w:sz w:val="16"/>
                <w:szCs w:val="16"/>
              </w:rPr>
            </w:pPr>
            <w:r w:rsidRPr="00F538E3">
              <w:rPr>
                <w:sz w:val="16"/>
                <w:szCs w:val="16"/>
              </w:rPr>
              <w:t>BIP</w:t>
            </w:r>
          </w:p>
        </w:tc>
        <w:tc>
          <w:tcPr>
            <w:tcW w:w="535"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3</w:t>
            </w:r>
          </w:p>
        </w:tc>
        <w:tc>
          <w:tcPr>
            <w:tcW w:w="734" w:type="pct"/>
            <w:tcBorders>
              <w:top w:val="single" w:sz="4" w:space="0" w:color="auto"/>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182.4</w:t>
            </w:r>
          </w:p>
        </w:tc>
        <w:tc>
          <w:tcPr>
            <w:tcW w:w="752" w:type="pct"/>
            <w:tcBorders>
              <w:top w:val="single" w:sz="4" w:space="0" w:color="auto"/>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180.9</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1.5</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0.0</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0.8%</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77.8</w:t>
            </w:r>
          </w:p>
        </w:tc>
        <w:tc>
          <w:tcPr>
            <w:tcW w:w="571"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No</w:t>
            </w:r>
          </w:p>
        </w:tc>
      </w:tr>
      <w:tr w:rsidR="00A97AA9" w:rsidRPr="00160EBB" w:rsidTr="00A97AA9">
        <w:trPr>
          <w:trHeight w:val="302"/>
        </w:trPr>
        <w:tc>
          <w:tcPr>
            <w:tcW w:w="620" w:type="pct"/>
            <w:tcBorders>
              <w:top w:val="nil"/>
              <w:left w:val="single" w:sz="4" w:space="0" w:color="auto"/>
              <w:bottom w:val="single" w:sz="4" w:space="0" w:color="auto"/>
              <w:right w:val="single" w:sz="4" w:space="0" w:color="auto"/>
            </w:tcBorders>
            <w:shd w:val="clear" w:color="auto" w:fill="auto"/>
            <w:vAlign w:val="center"/>
            <w:hideMark/>
          </w:tcPr>
          <w:p w:rsidR="00160EBB" w:rsidRPr="00F538E3" w:rsidRDefault="00160EBB" w:rsidP="00F538E3">
            <w:pPr>
              <w:pStyle w:val="TableText"/>
              <w:rPr>
                <w:sz w:val="16"/>
                <w:szCs w:val="16"/>
              </w:rPr>
            </w:pPr>
            <w:r w:rsidRPr="00F538E3">
              <w:rPr>
                <w:sz w:val="16"/>
                <w:szCs w:val="16"/>
              </w:rPr>
              <w:t>CBP</w:t>
            </w:r>
          </w:p>
        </w:tc>
        <w:tc>
          <w:tcPr>
            <w:tcW w:w="535"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13</w:t>
            </w:r>
          </w:p>
        </w:tc>
        <w:tc>
          <w:tcPr>
            <w:tcW w:w="734"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269.5</w:t>
            </w:r>
          </w:p>
        </w:tc>
        <w:tc>
          <w:tcPr>
            <w:tcW w:w="752"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194.4</w:t>
            </w:r>
          </w:p>
        </w:tc>
        <w:tc>
          <w:tcPr>
            <w:tcW w:w="423"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75.1</w:t>
            </w:r>
          </w:p>
        </w:tc>
        <w:tc>
          <w:tcPr>
            <w:tcW w:w="564"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1.0</w:t>
            </w:r>
          </w:p>
        </w:tc>
        <w:tc>
          <w:tcPr>
            <w:tcW w:w="423"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27.9%</w:t>
            </w:r>
          </w:p>
        </w:tc>
        <w:tc>
          <w:tcPr>
            <w:tcW w:w="378"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78.4</w:t>
            </w:r>
          </w:p>
        </w:tc>
        <w:tc>
          <w:tcPr>
            <w:tcW w:w="571"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Yes</w:t>
            </w:r>
          </w:p>
        </w:tc>
      </w:tr>
      <w:tr w:rsidR="00A97AA9" w:rsidRPr="00160EBB" w:rsidTr="00A97AA9">
        <w:trPr>
          <w:trHeight w:val="302"/>
        </w:trPr>
        <w:tc>
          <w:tcPr>
            <w:tcW w:w="620" w:type="pct"/>
            <w:tcBorders>
              <w:top w:val="nil"/>
              <w:left w:val="single" w:sz="4" w:space="0" w:color="auto"/>
              <w:bottom w:val="single" w:sz="4" w:space="0" w:color="auto"/>
              <w:right w:val="single" w:sz="4" w:space="0" w:color="auto"/>
            </w:tcBorders>
            <w:shd w:val="clear" w:color="auto" w:fill="auto"/>
            <w:vAlign w:val="center"/>
            <w:hideMark/>
          </w:tcPr>
          <w:p w:rsidR="00160EBB" w:rsidRPr="00F538E3" w:rsidRDefault="00160EBB" w:rsidP="00F538E3">
            <w:pPr>
              <w:pStyle w:val="TableText"/>
              <w:rPr>
                <w:sz w:val="16"/>
                <w:szCs w:val="16"/>
              </w:rPr>
            </w:pPr>
            <w:r w:rsidRPr="00F538E3">
              <w:rPr>
                <w:sz w:val="16"/>
                <w:szCs w:val="16"/>
              </w:rPr>
              <w:t>CGP</w:t>
            </w:r>
          </w:p>
        </w:tc>
        <w:tc>
          <w:tcPr>
            <w:tcW w:w="535"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1</w:t>
            </w:r>
          </w:p>
        </w:tc>
        <w:tc>
          <w:tcPr>
            <w:tcW w:w="734"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276.8</w:t>
            </w:r>
          </w:p>
        </w:tc>
        <w:tc>
          <w:tcPr>
            <w:tcW w:w="752"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199.6</w:t>
            </w:r>
          </w:p>
        </w:tc>
        <w:tc>
          <w:tcPr>
            <w:tcW w:w="423"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77.2</w:t>
            </w:r>
          </w:p>
        </w:tc>
        <w:tc>
          <w:tcPr>
            <w:tcW w:w="564"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0.1</w:t>
            </w:r>
          </w:p>
        </w:tc>
        <w:tc>
          <w:tcPr>
            <w:tcW w:w="423"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27.9%</w:t>
            </w:r>
          </w:p>
        </w:tc>
        <w:tc>
          <w:tcPr>
            <w:tcW w:w="378"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76.9</w:t>
            </w:r>
          </w:p>
        </w:tc>
        <w:tc>
          <w:tcPr>
            <w:tcW w:w="571" w:type="pct"/>
            <w:tcBorders>
              <w:top w:val="nil"/>
              <w:left w:val="nil"/>
              <w:bottom w:val="single" w:sz="4" w:space="0" w:color="auto"/>
              <w:right w:val="single" w:sz="4" w:space="0" w:color="auto"/>
            </w:tcBorders>
            <w:shd w:val="clear" w:color="auto" w:fill="auto"/>
            <w:noWrap/>
            <w:vAlign w:val="center"/>
            <w:hideMark/>
          </w:tcPr>
          <w:p w:rsidR="00160EBB" w:rsidRPr="00F538E3" w:rsidRDefault="00160EBB" w:rsidP="00F538E3">
            <w:pPr>
              <w:pStyle w:val="TableText"/>
              <w:rPr>
                <w:sz w:val="16"/>
                <w:szCs w:val="16"/>
              </w:rPr>
            </w:pPr>
            <w:r w:rsidRPr="00F538E3">
              <w:rPr>
                <w:sz w:val="16"/>
                <w:szCs w:val="16"/>
              </w:rPr>
              <w:t>Yes</w:t>
            </w:r>
          </w:p>
        </w:tc>
      </w:tr>
    </w:tbl>
    <w:p w:rsidR="00B42F39" w:rsidRDefault="00B42F39" w:rsidP="00F538E3">
      <w:pPr>
        <w:pStyle w:val="Heading2"/>
        <w:spacing w:before="360"/>
      </w:pPr>
      <w:bookmarkStart w:id="136" w:name="_Toc318473867"/>
      <w:bookmarkStart w:id="137" w:name="_Toc326072126"/>
      <w:bookmarkStart w:id="138" w:name="_Toc352323650"/>
      <w:r>
        <w:lastRenderedPageBreak/>
        <w:t xml:space="preserve">TI and </w:t>
      </w:r>
      <w:r w:rsidRPr="00B42F39">
        <w:t>AutoDR</w:t>
      </w:r>
      <w:r>
        <w:t xml:space="preserve"> Load Impacts and Realization Rates</w:t>
      </w:r>
      <w:bookmarkEnd w:id="136"/>
      <w:bookmarkEnd w:id="137"/>
      <w:bookmarkEnd w:id="138"/>
      <w:r>
        <w:t xml:space="preserve"> </w:t>
      </w:r>
    </w:p>
    <w:p w:rsidR="0089394C" w:rsidRDefault="005423F6" w:rsidP="00B42F39">
      <w:pPr>
        <w:pStyle w:val="BodyParagraph"/>
      </w:pPr>
      <w:r>
        <w:t>Table 6-</w:t>
      </w:r>
      <w:r w:rsidR="00394A69">
        <w:t>5</w:t>
      </w:r>
      <w:r w:rsidR="00B42F39">
        <w:t xml:space="preserve"> shows the</w:t>
      </w:r>
      <w:r>
        <w:t xml:space="preserve"> average</w:t>
      </w:r>
      <w:r w:rsidR="00B42F39">
        <w:t xml:space="preserve"> weekday event load impacts for customers enrolled in TI and AutoDR.</w:t>
      </w:r>
      <w:r>
        <w:t xml:space="preserve"> </w:t>
      </w:r>
      <w:r w:rsidR="00594679">
        <w:t>G</w:t>
      </w:r>
      <w:r w:rsidR="00B42F39">
        <w:t>iven the extremely small number of</w:t>
      </w:r>
      <w:r w:rsidR="0089394C">
        <w:t xml:space="preserve"> customers on TI and AutoDR, this</w:t>
      </w:r>
      <w:r w:rsidR="00B42F39">
        <w:t xml:space="preserve"> point impact </w:t>
      </w:r>
      <w:r w:rsidR="00B42F39" w:rsidRPr="00B42F39">
        <w:t>estimate</w:t>
      </w:r>
      <w:r w:rsidR="00B42F39">
        <w:t xml:space="preserve"> </w:t>
      </w:r>
      <w:r w:rsidR="0089394C">
        <w:t>is</w:t>
      </w:r>
      <w:r w:rsidR="00B42F39">
        <w:t xml:space="preserve"> surrounded by a significant amount of</w:t>
      </w:r>
      <w:r w:rsidR="00394A69">
        <w:t> </w:t>
      </w:r>
      <w:r w:rsidR="00B42F39">
        <w:t xml:space="preserve">uncertainty.  </w:t>
      </w:r>
    </w:p>
    <w:p w:rsidR="00B42F39" w:rsidRDefault="00B42F39" w:rsidP="00B42F39">
      <w:pPr>
        <w:pStyle w:val="BodyParagraph"/>
      </w:pPr>
      <w:r>
        <w:t xml:space="preserve">As was true for the analysis of TI and AutoDR for PG&amp;E and SCE, analysis of realization rates for SDG&amp;E CPP customers is hampered by the small number of customers </w:t>
      </w:r>
      <w:r w:rsidR="00394A69">
        <w:t xml:space="preserve">who </w:t>
      </w:r>
      <w:r>
        <w:t>participated in the</w:t>
      </w:r>
      <w:r w:rsidR="0089394C">
        <w:t xml:space="preserve"> enabling technology programs.  T</w:t>
      </w:r>
      <w:r>
        <w:t>he realization rate</w:t>
      </w:r>
      <w:r w:rsidR="0089394C">
        <w:t xml:space="preserve"> estimate</w:t>
      </w:r>
      <w:r>
        <w:t xml:space="preserve"> contained in Table 6-</w:t>
      </w:r>
      <w:r w:rsidR="00394A69">
        <w:t>5</w:t>
      </w:r>
      <w:r>
        <w:t xml:space="preserve"> </w:t>
      </w:r>
      <w:r w:rsidR="00594679">
        <w:t>should be</w:t>
      </w:r>
      <w:r w:rsidR="0089394C">
        <w:t xml:space="preserve"> cited</w:t>
      </w:r>
      <w:r w:rsidR="00564E9A">
        <w:t> </w:t>
      </w:r>
      <w:r>
        <w:t>with</w:t>
      </w:r>
      <w:r w:rsidR="00394A69">
        <w:t> </w:t>
      </w:r>
      <w:r>
        <w:t xml:space="preserve">caution.  </w:t>
      </w:r>
    </w:p>
    <w:p w:rsidR="005423F6" w:rsidRDefault="005423F6" w:rsidP="00F538E3">
      <w:pPr>
        <w:pStyle w:val="TableFigureCaption"/>
      </w:pPr>
      <w:r w:rsidRPr="00F538E3">
        <w:t>Table 6-</w:t>
      </w:r>
      <w:r w:rsidR="00394A69">
        <w:t>5</w:t>
      </w:r>
      <w:r w:rsidR="00B42F39" w:rsidRPr="00F538E3">
        <w:t>: Estimated Ex Post Load Impacts of TI &amp; AutoD</w:t>
      </w:r>
      <w:r w:rsidRPr="00F538E3">
        <w:t>R Participants</w:t>
      </w:r>
      <w:r w:rsidRPr="00F538E3">
        <w:br/>
        <w:t>Average 2012</w:t>
      </w:r>
      <w:r w:rsidR="00B42F39" w:rsidRPr="00F538E3">
        <w:t xml:space="preserve"> </w:t>
      </w:r>
      <w:r w:rsidRPr="00F538E3">
        <w:t xml:space="preserve">Weekday </w:t>
      </w:r>
      <w:r w:rsidR="00B42F39" w:rsidRPr="00F538E3">
        <w:t>SDG&amp;E CPP Event</w:t>
      </w:r>
    </w:p>
    <w:tbl>
      <w:tblPr>
        <w:tblW w:w="9620" w:type="dxa"/>
        <w:tblInd w:w="103" w:type="dxa"/>
        <w:tblLook w:val="04A0" w:firstRow="1" w:lastRow="0" w:firstColumn="1" w:lastColumn="0" w:noHBand="0" w:noVBand="1"/>
      </w:tblPr>
      <w:tblGrid>
        <w:gridCol w:w="1960"/>
        <w:gridCol w:w="1080"/>
        <w:gridCol w:w="1020"/>
        <w:gridCol w:w="1060"/>
        <w:gridCol w:w="1153"/>
        <w:gridCol w:w="1167"/>
        <w:gridCol w:w="1060"/>
        <w:gridCol w:w="1120"/>
      </w:tblGrid>
      <w:tr w:rsidR="00A97AA9" w:rsidRPr="00E661DE" w:rsidTr="00BE5AA0">
        <w:trPr>
          <w:trHeight w:val="600"/>
        </w:trPr>
        <w:tc>
          <w:tcPr>
            <w:tcW w:w="1960" w:type="dxa"/>
            <w:vMerge w:val="restart"/>
            <w:tcBorders>
              <w:top w:val="single" w:sz="4" w:space="0" w:color="000000"/>
              <w:left w:val="single" w:sz="4" w:space="0" w:color="000000"/>
              <w:bottom w:val="single" w:sz="4" w:space="0" w:color="000000"/>
              <w:right w:val="single" w:sz="4" w:space="0" w:color="FFFFFF"/>
            </w:tcBorders>
            <w:shd w:val="clear" w:color="000000" w:fill="1F497D"/>
            <w:vAlign w:val="center"/>
            <w:hideMark/>
          </w:tcPr>
          <w:p w:rsidR="00A97AA9" w:rsidRPr="00A97AA9" w:rsidRDefault="00A97AA9" w:rsidP="007E27F3">
            <w:pPr>
              <w:pStyle w:val="TableHeader"/>
              <w:rPr>
                <w:sz w:val="16"/>
                <w:szCs w:val="16"/>
              </w:rPr>
            </w:pPr>
            <w:bookmarkStart w:id="139" w:name="_Toc351454069"/>
            <w:bookmarkStart w:id="140" w:name="_Toc351455494"/>
            <w:bookmarkStart w:id="141" w:name="_Toc351462752"/>
            <w:bookmarkStart w:id="142" w:name="_Toc351469535"/>
            <w:bookmarkEnd w:id="139"/>
            <w:bookmarkEnd w:id="140"/>
            <w:bookmarkEnd w:id="141"/>
            <w:bookmarkEnd w:id="142"/>
            <w:r w:rsidRPr="00A97AA9">
              <w:rPr>
                <w:sz w:val="16"/>
                <w:szCs w:val="16"/>
              </w:rPr>
              <w:t>Enabling Technology</w:t>
            </w:r>
          </w:p>
        </w:tc>
        <w:tc>
          <w:tcPr>
            <w:tcW w:w="1080" w:type="dxa"/>
            <w:vMerge w:val="restart"/>
            <w:tcBorders>
              <w:top w:val="single" w:sz="4" w:space="0" w:color="000000"/>
              <w:left w:val="single" w:sz="4" w:space="0" w:color="FFFFFF"/>
              <w:bottom w:val="single" w:sz="4" w:space="0" w:color="FFFFFF"/>
              <w:right w:val="single" w:sz="4" w:space="0" w:color="FFFFFF"/>
            </w:tcBorders>
            <w:shd w:val="clear" w:color="000000" w:fill="1F497D"/>
            <w:vAlign w:val="center"/>
            <w:hideMark/>
          </w:tcPr>
          <w:p w:rsidR="00A97AA9" w:rsidRPr="00A97AA9" w:rsidRDefault="00A97AA9" w:rsidP="007E27F3">
            <w:pPr>
              <w:pStyle w:val="TableHeader"/>
              <w:rPr>
                <w:sz w:val="16"/>
                <w:szCs w:val="16"/>
              </w:rPr>
            </w:pPr>
            <w:r w:rsidRPr="00A97AA9">
              <w:rPr>
                <w:sz w:val="16"/>
                <w:szCs w:val="16"/>
              </w:rPr>
              <w:t>Accounts</w:t>
            </w:r>
          </w:p>
        </w:tc>
        <w:tc>
          <w:tcPr>
            <w:tcW w:w="1020" w:type="dxa"/>
            <w:vMerge w:val="restart"/>
            <w:tcBorders>
              <w:top w:val="single" w:sz="4" w:space="0" w:color="000000"/>
              <w:left w:val="nil"/>
              <w:right w:val="single" w:sz="4" w:space="0" w:color="FFFFFF"/>
            </w:tcBorders>
            <w:shd w:val="clear" w:color="000000" w:fill="1F497D"/>
            <w:vAlign w:val="center"/>
            <w:hideMark/>
          </w:tcPr>
          <w:p w:rsidR="00A97AA9" w:rsidRPr="00A97AA9" w:rsidRDefault="00A97AA9" w:rsidP="00A97AA9">
            <w:pPr>
              <w:pStyle w:val="TableHeader"/>
              <w:rPr>
                <w:sz w:val="16"/>
                <w:szCs w:val="16"/>
              </w:rPr>
            </w:pPr>
            <w:r w:rsidRPr="00A97AA9">
              <w:rPr>
                <w:sz w:val="16"/>
                <w:szCs w:val="16"/>
              </w:rPr>
              <w:t>Load Impact</w:t>
            </w:r>
            <w:r>
              <w:rPr>
                <w:sz w:val="16"/>
                <w:szCs w:val="16"/>
              </w:rPr>
              <w:t xml:space="preserve"> </w:t>
            </w:r>
            <w:r w:rsidRPr="00A97AA9">
              <w:rPr>
                <w:sz w:val="16"/>
                <w:szCs w:val="16"/>
              </w:rPr>
              <w:t>(kW)</w:t>
            </w:r>
          </w:p>
        </w:tc>
        <w:tc>
          <w:tcPr>
            <w:tcW w:w="1060" w:type="dxa"/>
            <w:vMerge w:val="restart"/>
            <w:tcBorders>
              <w:top w:val="single" w:sz="4" w:space="0" w:color="000000"/>
              <w:left w:val="nil"/>
              <w:right w:val="single" w:sz="4" w:space="0" w:color="FFFFFF"/>
            </w:tcBorders>
            <w:shd w:val="clear" w:color="000000" w:fill="1F497D"/>
            <w:vAlign w:val="center"/>
            <w:hideMark/>
          </w:tcPr>
          <w:p w:rsidR="00A97AA9" w:rsidRPr="00A97AA9" w:rsidRDefault="00A97AA9" w:rsidP="00A97AA9">
            <w:pPr>
              <w:pStyle w:val="TableHeader"/>
              <w:rPr>
                <w:sz w:val="16"/>
                <w:szCs w:val="16"/>
              </w:rPr>
            </w:pPr>
            <w:r w:rsidRPr="00A97AA9">
              <w:rPr>
                <w:sz w:val="16"/>
                <w:szCs w:val="16"/>
              </w:rPr>
              <w:t>% Reduction</w:t>
            </w:r>
            <w:r>
              <w:rPr>
                <w:sz w:val="16"/>
                <w:szCs w:val="16"/>
              </w:rPr>
              <w:t xml:space="preserve"> </w:t>
            </w:r>
            <w:r w:rsidRPr="00A97AA9">
              <w:rPr>
                <w:sz w:val="16"/>
                <w:szCs w:val="16"/>
              </w:rPr>
              <w:t>(%)</w:t>
            </w:r>
          </w:p>
        </w:tc>
        <w:tc>
          <w:tcPr>
            <w:tcW w:w="2320" w:type="dxa"/>
            <w:gridSpan w:val="2"/>
            <w:tcBorders>
              <w:top w:val="single" w:sz="4" w:space="0" w:color="000000"/>
              <w:left w:val="nil"/>
              <w:bottom w:val="single" w:sz="4" w:space="0" w:color="FFFFFF"/>
              <w:right w:val="single" w:sz="4" w:space="0" w:color="FFFFFF"/>
            </w:tcBorders>
            <w:shd w:val="clear" w:color="000000" w:fill="1F497D"/>
            <w:vAlign w:val="center"/>
            <w:hideMark/>
          </w:tcPr>
          <w:p w:rsidR="00A97AA9" w:rsidRPr="00A97AA9" w:rsidRDefault="00A97AA9" w:rsidP="007E27F3">
            <w:pPr>
              <w:pStyle w:val="TableHeader"/>
              <w:rPr>
                <w:sz w:val="16"/>
                <w:szCs w:val="16"/>
              </w:rPr>
            </w:pPr>
            <w:r w:rsidRPr="00A97AA9">
              <w:rPr>
                <w:sz w:val="16"/>
                <w:szCs w:val="16"/>
              </w:rPr>
              <w:t>90% Confidence Interval</w:t>
            </w:r>
          </w:p>
        </w:tc>
        <w:tc>
          <w:tcPr>
            <w:tcW w:w="1060" w:type="dxa"/>
            <w:vMerge w:val="restart"/>
            <w:tcBorders>
              <w:top w:val="single" w:sz="4" w:space="0" w:color="000000"/>
              <w:left w:val="nil"/>
              <w:right w:val="single" w:sz="4" w:space="0" w:color="FFFFFF"/>
            </w:tcBorders>
            <w:shd w:val="clear" w:color="000000" w:fill="1F497D"/>
            <w:vAlign w:val="center"/>
            <w:hideMark/>
          </w:tcPr>
          <w:p w:rsidR="00A97AA9" w:rsidRPr="00A97AA9" w:rsidRDefault="00A97AA9" w:rsidP="00A97AA9">
            <w:pPr>
              <w:pStyle w:val="TableHeader"/>
              <w:rPr>
                <w:sz w:val="16"/>
                <w:szCs w:val="16"/>
              </w:rPr>
            </w:pPr>
            <w:r w:rsidRPr="00A97AA9">
              <w:rPr>
                <w:sz w:val="16"/>
                <w:szCs w:val="16"/>
              </w:rPr>
              <w:t>Approved Load Shed</w:t>
            </w:r>
            <w:r>
              <w:rPr>
                <w:sz w:val="16"/>
                <w:szCs w:val="16"/>
              </w:rPr>
              <w:t xml:space="preserve"> </w:t>
            </w:r>
            <w:r w:rsidRPr="00A97AA9">
              <w:rPr>
                <w:sz w:val="16"/>
                <w:szCs w:val="16"/>
              </w:rPr>
              <w:t>(kW)</w:t>
            </w:r>
          </w:p>
        </w:tc>
        <w:tc>
          <w:tcPr>
            <w:tcW w:w="1120" w:type="dxa"/>
            <w:vMerge w:val="restart"/>
            <w:tcBorders>
              <w:top w:val="single" w:sz="4" w:space="0" w:color="000000"/>
              <w:left w:val="nil"/>
              <w:right w:val="nil"/>
            </w:tcBorders>
            <w:shd w:val="clear" w:color="000000" w:fill="1F497D"/>
            <w:vAlign w:val="center"/>
            <w:hideMark/>
          </w:tcPr>
          <w:p w:rsidR="00A97AA9" w:rsidRPr="00A97AA9" w:rsidRDefault="00A97AA9" w:rsidP="00A97AA9">
            <w:pPr>
              <w:pStyle w:val="TableHeader"/>
              <w:rPr>
                <w:sz w:val="16"/>
                <w:szCs w:val="16"/>
              </w:rPr>
            </w:pPr>
            <w:r w:rsidRPr="00A97AA9">
              <w:rPr>
                <w:sz w:val="16"/>
                <w:szCs w:val="16"/>
              </w:rPr>
              <w:t>Realization Rate</w:t>
            </w:r>
            <w:r>
              <w:rPr>
                <w:sz w:val="16"/>
                <w:szCs w:val="16"/>
              </w:rPr>
              <w:t xml:space="preserve"> </w:t>
            </w:r>
            <w:r w:rsidRPr="00A97AA9">
              <w:rPr>
                <w:sz w:val="16"/>
                <w:szCs w:val="16"/>
              </w:rPr>
              <w:t>(%)</w:t>
            </w:r>
          </w:p>
        </w:tc>
      </w:tr>
      <w:tr w:rsidR="00A97AA9" w:rsidRPr="00E661DE" w:rsidTr="00A97AA9">
        <w:trPr>
          <w:trHeight w:val="161"/>
        </w:trPr>
        <w:tc>
          <w:tcPr>
            <w:tcW w:w="1960" w:type="dxa"/>
            <w:vMerge/>
            <w:tcBorders>
              <w:top w:val="single" w:sz="4" w:space="0" w:color="000000"/>
              <w:left w:val="single" w:sz="4" w:space="0" w:color="000000"/>
              <w:bottom w:val="single" w:sz="4" w:space="0" w:color="000000"/>
              <w:right w:val="single" w:sz="4" w:space="0" w:color="FFFFFF"/>
            </w:tcBorders>
            <w:vAlign w:val="center"/>
            <w:hideMark/>
          </w:tcPr>
          <w:p w:rsidR="00A97AA9" w:rsidRPr="00A97AA9" w:rsidRDefault="00A97AA9" w:rsidP="007E27F3">
            <w:pPr>
              <w:pStyle w:val="TableHeader"/>
              <w:rPr>
                <w:sz w:val="16"/>
                <w:szCs w:val="16"/>
              </w:rPr>
            </w:pPr>
          </w:p>
        </w:tc>
        <w:tc>
          <w:tcPr>
            <w:tcW w:w="1080" w:type="dxa"/>
            <w:vMerge/>
            <w:tcBorders>
              <w:top w:val="single" w:sz="4" w:space="0" w:color="000000"/>
              <w:left w:val="single" w:sz="4" w:space="0" w:color="FFFFFF"/>
              <w:bottom w:val="single" w:sz="4" w:space="0" w:color="FFFFFF"/>
              <w:right w:val="single" w:sz="4" w:space="0" w:color="FFFFFF"/>
            </w:tcBorders>
            <w:vAlign w:val="center"/>
            <w:hideMark/>
          </w:tcPr>
          <w:p w:rsidR="00A97AA9" w:rsidRPr="00A97AA9" w:rsidRDefault="00A97AA9" w:rsidP="007E27F3">
            <w:pPr>
              <w:pStyle w:val="TableHeader"/>
              <w:rPr>
                <w:sz w:val="16"/>
                <w:szCs w:val="16"/>
              </w:rPr>
            </w:pPr>
          </w:p>
        </w:tc>
        <w:tc>
          <w:tcPr>
            <w:tcW w:w="1020" w:type="dxa"/>
            <w:vMerge/>
            <w:tcBorders>
              <w:left w:val="nil"/>
              <w:bottom w:val="nil"/>
              <w:right w:val="single" w:sz="4" w:space="0" w:color="FFFFFF"/>
            </w:tcBorders>
            <w:shd w:val="clear" w:color="000000" w:fill="1F497D"/>
            <w:noWrap/>
            <w:vAlign w:val="center"/>
            <w:hideMark/>
          </w:tcPr>
          <w:p w:rsidR="00A97AA9" w:rsidRPr="00A97AA9" w:rsidRDefault="00A97AA9" w:rsidP="007E27F3">
            <w:pPr>
              <w:pStyle w:val="TableHeader"/>
              <w:rPr>
                <w:sz w:val="16"/>
                <w:szCs w:val="16"/>
              </w:rPr>
            </w:pPr>
          </w:p>
        </w:tc>
        <w:tc>
          <w:tcPr>
            <w:tcW w:w="1060" w:type="dxa"/>
            <w:vMerge/>
            <w:tcBorders>
              <w:left w:val="nil"/>
              <w:bottom w:val="single" w:sz="4" w:space="0" w:color="auto"/>
              <w:right w:val="single" w:sz="4" w:space="0" w:color="FFFFFF"/>
            </w:tcBorders>
            <w:shd w:val="clear" w:color="000000" w:fill="1F497D"/>
            <w:noWrap/>
            <w:vAlign w:val="center"/>
            <w:hideMark/>
          </w:tcPr>
          <w:p w:rsidR="00A97AA9" w:rsidRPr="00A97AA9" w:rsidRDefault="00A97AA9" w:rsidP="007E27F3">
            <w:pPr>
              <w:pStyle w:val="TableHeader"/>
              <w:rPr>
                <w:sz w:val="16"/>
                <w:szCs w:val="16"/>
              </w:rPr>
            </w:pPr>
          </w:p>
        </w:tc>
        <w:tc>
          <w:tcPr>
            <w:tcW w:w="1153" w:type="dxa"/>
            <w:tcBorders>
              <w:top w:val="nil"/>
              <w:left w:val="nil"/>
              <w:bottom w:val="nil"/>
              <w:right w:val="single" w:sz="4" w:space="0" w:color="FFFFFF"/>
            </w:tcBorders>
            <w:shd w:val="clear" w:color="000000" w:fill="1F497D"/>
            <w:noWrap/>
            <w:vAlign w:val="center"/>
            <w:hideMark/>
          </w:tcPr>
          <w:p w:rsidR="00A97AA9" w:rsidRPr="00A97AA9" w:rsidRDefault="00A97AA9" w:rsidP="007E27F3">
            <w:pPr>
              <w:pStyle w:val="TableHeader"/>
              <w:rPr>
                <w:sz w:val="16"/>
                <w:szCs w:val="16"/>
              </w:rPr>
            </w:pPr>
            <w:r w:rsidRPr="00A97AA9">
              <w:rPr>
                <w:sz w:val="16"/>
                <w:szCs w:val="16"/>
              </w:rPr>
              <w:t>Lower</w:t>
            </w:r>
          </w:p>
        </w:tc>
        <w:tc>
          <w:tcPr>
            <w:tcW w:w="1167" w:type="dxa"/>
            <w:tcBorders>
              <w:top w:val="nil"/>
              <w:left w:val="nil"/>
              <w:bottom w:val="single" w:sz="4" w:space="0" w:color="auto"/>
              <w:right w:val="single" w:sz="4" w:space="0" w:color="FFFFFF"/>
            </w:tcBorders>
            <w:shd w:val="clear" w:color="000000" w:fill="1F497D"/>
            <w:noWrap/>
            <w:vAlign w:val="center"/>
            <w:hideMark/>
          </w:tcPr>
          <w:p w:rsidR="00A97AA9" w:rsidRPr="00A97AA9" w:rsidRDefault="00A97AA9" w:rsidP="007E27F3">
            <w:pPr>
              <w:pStyle w:val="TableHeader"/>
              <w:rPr>
                <w:sz w:val="16"/>
                <w:szCs w:val="16"/>
              </w:rPr>
            </w:pPr>
            <w:r w:rsidRPr="00A97AA9">
              <w:rPr>
                <w:sz w:val="16"/>
                <w:szCs w:val="16"/>
              </w:rPr>
              <w:t>Upper</w:t>
            </w:r>
          </w:p>
        </w:tc>
        <w:tc>
          <w:tcPr>
            <w:tcW w:w="1060" w:type="dxa"/>
            <w:vMerge/>
            <w:tcBorders>
              <w:left w:val="nil"/>
              <w:bottom w:val="single" w:sz="4" w:space="0" w:color="auto"/>
              <w:right w:val="single" w:sz="4" w:space="0" w:color="FFFFFF"/>
            </w:tcBorders>
            <w:shd w:val="clear" w:color="000000" w:fill="1F497D"/>
            <w:noWrap/>
            <w:vAlign w:val="center"/>
            <w:hideMark/>
          </w:tcPr>
          <w:p w:rsidR="00A97AA9" w:rsidRPr="00A97AA9" w:rsidRDefault="00A97AA9" w:rsidP="007E27F3">
            <w:pPr>
              <w:pStyle w:val="TableHeader"/>
              <w:rPr>
                <w:sz w:val="16"/>
                <w:szCs w:val="16"/>
              </w:rPr>
            </w:pPr>
          </w:p>
        </w:tc>
        <w:tc>
          <w:tcPr>
            <w:tcW w:w="1120" w:type="dxa"/>
            <w:vMerge/>
            <w:tcBorders>
              <w:left w:val="nil"/>
              <w:bottom w:val="single" w:sz="4" w:space="0" w:color="auto"/>
              <w:right w:val="single" w:sz="4" w:space="0" w:color="auto"/>
            </w:tcBorders>
            <w:shd w:val="clear" w:color="000000" w:fill="1F497D"/>
            <w:noWrap/>
            <w:vAlign w:val="center"/>
            <w:hideMark/>
          </w:tcPr>
          <w:p w:rsidR="00A97AA9" w:rsidRPr="00A97AA9" w:rsidRDefault="00A97AA9" w:rsidP="007E27F3">
            <w:pPr>
              <w:pStyle w:val="TableHeader"/>
              <w:rPr>
                <w:sz w:val="16"/>
                <w:szCs w:val="16"/>
              </w:rPr>
            </w:pPr>
          </w:p>
        </w:tc>
      </w:tr>
      <w:tr w:rsidR="00E661DE" w:rsidRPr="00E661DE" w:rsidTr="007E27F3">
        <w:trPr>
          <w:trHeight w:val="300"/>
        </w:trPr>
        <w:tc>
          <w:tcPr>
            <w:tcW w:w="1960" w:type="dxa"/>
            <w:tcBorders>
              <w:top w:val="nil"/>
              <w:left w:val="single" w:sz="4" w:space="0" w:color="auto"/>
              <w:bottom w:val="single" w:sz="4" w:space="0" w:color="auto"/>
              <w:right w:val="nil"/>
            </w:tcBorders>
            <w:shd w:val="clear" w:color="auto" w:fill="auto"/>
            <w:vAlign w:val="center"/>
            <w:hideMark/>
          </w:tcPr>
          <w:p w:rsidR="00E661DE" w:rsidRPr="00A97AA9" w:rsidRDefault="00E661DE" w:rsidP="007E27F3">
            <w:pPr>
              <w:pStyle w:val="TableText"/>
              <w:rPr>
                <w:sz w:val="16"/>
                <w:szCs w:val="16"/>
              </w:rPr>
            </w:pPr>
            <w:r w:rsidRPr="00A97AA9">
              <w:rPr>
                <w:sz w:val="16"/>
                <w:szCs w:val="16"/>
              </w:rPr>
              <w:t>AutoDR</w:t>
            </w:r>
          </w:p>
        </w:tc>
        <w:tc>
          <w:tcPr>
            <w:tcW w:w="1080" w:type="dxa"/>
            <w:tcBorders>
              <w:top w:val="single" w:sz="4" w:space="0" w:color="auto"/>
              <w:left w:val="single" w:sz="4" w:space="0" w:color="auto"/>
              <w:bottom w:val="single" w:sz="4" w:space="0" w:color="auto"/>
              <w:right w:val="nil"/>
            </w:tcBorders>
            <w:shd w:val="clear" w:color="auto" w:fill="auto"/>
            <w:vAlign w:val="center"/>
            <w:hideMark/>
          </w:tcPr>
          <w:p w:rsidR="00E661DE" w:rsidRPr="00A97AA9" w:rsidRDefault="00E661DE" w:rsidP="007E27F3">
            <w:pPr>
              <w:pStyle w:val="TableText"/>
              <w:rPr>
                <w:sz w:val="16"/>
                <w:szCs w:val="16"/>
              </w:rPr>
            </w:pPr>
            <w:r w:rsidRPr="00A97AA9">
              <w:rPr>
                <w:sz w:val="16"/>
                <w:szCs w:val="16"/>
              </w:rPr>
              <w:t>30</w:t>
            </w:r>
          </w:p>
        </w:tc>
        <w:tc>
          <w:tcPr>
            <w:tcW w:w="1020" w:type="dxa"/>
            <w:tcBorders>
              <w:top w:val="single" w:sz="4" w:space="0" w:color="auto"/>
              <w:left w:val="single" w:sz="4" w:space="0" w:color="auto"/>
              <w:bottom w:val="single" w:sz="4" w:space="0" w:color="000000"/>
              <w:right w:val="nil"/>
            </w:tcBorders>
            <w:shd w:val="clear" w:color="auto" w:fill="auto"/>
            <w:noWrap/>
            <w:vAlign w:val="center"/>
            <w:hideMark/>
          </w:tcPr>
          <w:p w:rsidR="00E661DE" w:rsidRPr="00A97AA9" w:rsidRDefault="00E661DE" w:rsidP="007E27F3">
            <w:pPr>
              <w:pStyle w:val="TableText"/>
              <w:rPr>
                <w:sz w:val="16"/>
                <w:szCs w:val="16"/>
              </w:rPr>
            </w:pPr>
            <w:r w:rsidRPr="00A97AA9">
              <w:rPr>
                <w:sz w:val="16"/>
                <w:szCs w:val="16"/>
              </w:rPr>
              <w:t>21.5</w:t>
            </w:r>
          </w:p>
        </w:tc>
        <w:tc>
          <w:tcPr>
            <w:tcW w:w="1060" w:type="dxa"/>
            <w:tcBorders>
              <w:top w:val="nil"/>
              <w:left w:val="single" w:sz="4" w:space="0" w:color="auto"/>
              <w:bottom w:val="single" w:sz="4" w:space="0" w:color="000000"/>
              <w:right w:val="nil"/>
            </w:tcBorders>
            <w:shd w:val="clear" w:color="auto" w:fill="auto"/>
            <w:noWrap/>
            <w:vAlign w:val="center"/>
            <w:hideMark/>
          </w:tcPr>
          <w:p w:rsidR="00E661DE" w:rsidRPr="00A97AA9" w:rsidRDefault="00E661DE" w:rsidP="007E27F3">
            <w:pPr>
              <w:pStyle w:val="TableText"/>
              <w:rPr>
                <w:sz w:val="16"/>
                <w:szCs w:val="16"/>
              </w:rPr>
            </w:pPr>
            <w:r w:rsidRPr="00A97AA9">
              <w:rPr>
                <w:sz w:val="16"/>
                <w:szCs w:val="16"/>
              </w:rPr>
              <w:t>4.4%</w:t>
            </w:r>
          </w:p>
        </w:tc>
        <w:tc>
          <w:tcPr>
            <w:tcW w:w="1153" w:type="dxa"/>
            <w:tcBorders>
              <w:top w:val="single" w:sz="4" w:space="0" w:color="auto"/>
              <w:left w:val="single" w:sz="4" w:space="0" w:color="auto"/>
              <w:bottom w:val="single" w:sz="4" w:space="0" w:color="000000"/>
              <w:right w:val="nil"/>
            </w:tcBorders>
            <w:shd w:val="clear" w:color="auto" w:fill="auto"/>
            <w:noWrap/>
            <w:vAlign w:val="center"/>
            <w:hideMark/>
          </w:tcPr>
          <w:p w:rsidR="00E661DE" w:rsidRPr="00A97AA9" w:rsidRDefault="00E661DE" w:rsidP="007E27F3">
            <w:pPr>
              <w:pStyle w:val="TableText"/>
              <w:rPr>
                <w:sz w:val="16"/>
                <w:szCs w:val="16"/>
              </w:rPr>
            </w:pPr>
            <w:r w:rsidRPr="00A97AA9">
              <w:rPr>
                <w:sz w:val="16"/>
                <w:szCs w:val="16"/>
              </w:rPr>
              <w:t>3.1%</w:t>
            </w:r>
          </w:p>
        </w:tc>
        <w:tc>
          <w:tcPr>
            <w:tcW w:w="1167" w:type="dxa"/>
            <w:tcBorders>
              <w:top w:val="nil"/>
              <w:left w:val="single" w:sz="4" w:space="0" w:color="auto"/>
              <w:bottom w:val="single" w:sz="4" w:space="0" w:color="000000"/>
              <w:right w:val="nil"/>
            </w:tcBorders>
            <w:shd w:val="clear" w:color="auto" w:fill="auto"/>
            <w:noWrap/>
            <w:vAlign w:val="center"/>
            <w:hideMark/>
          </w:tcPr>
          <w:p w:rsidR="00E661DE" w:rsidRPr="00A97AA9" w:rsidRDefault="00E661DE" w:rsidP="007E27F3">
            <w:pPr>
              <w:pStyle w:val="TableText"/>
              <w:rPr>
                <w:sz w:val="16"/>
                <w:szCs w:val="16"/>
              </w:rPr>
            </w:pPr>
            <w:r w:rsidRPr="00A97AA9">
              <w:rPr>
                <w:sz w:val="16"/>
                <w:szCs w:val="16"/>
              </w:rPr>
              <w:t>5.7%</w:t>
            </w:r>
          </w:p>
        </w:tc>
        <w:tc>
          <w:tcPr>
            <w:tcW w:w="1060" w:type="dxa"/>
            <w:tcBorders>
              <w:top w:val="nil"/>
              <w:left w:val="single" w:sz="4" w:space="0" w:color="auto"/>
              <w:bottom w:val="single" w:sz="4" w:space="0" w:color="000000"/>
              <w:right w:val="nil"/>
            </w:tcBorders>
            <w:shd w:val="clear" w:color="auto" w:fill="auto"/>
            <w:noWrap/>
            <w:vAlign w:val="center"/>
            <w:hideMark/>
          </w:tcPr>
          <w:p w:rsidR="00E661DE" w:rsidRPr="00A97AA9" w:rsidRDefault="00E661DE" w:rsidP="007E27F3">
            <w:pPr>
              <w:pStyle w:val="TableText"/>
              <w:rPr>
                <w:sz w:val="16"/>
                <w:szCs w:val="16"/>
              </w:rPr>
            </w:pPr>
            <w:r w:rsidRPr="00A97AA9">
              <w:rPr>
                <w:sz w:val="16"/>
                <w:szCs w:val="16"/>
              </w:rPr>
              <w:t>88.0</w:t>
            </w:r>
          </w:p>
        </w:tc>
        <w:tc>
          <w:tcPr>
            <w:tcW w:w="1120" w:type="dxa"/>
            <w:tcBorders>
              <w:top w:val="nil"/>
              <w:left w:val="single" w:sz="4" w:space="0" w:color="auto"/>
              <w:bottom w:val="single" w:sz="4" w:space="0" w:color="000000"/>
              <w:right w:val="single" w:sz="4" w:space="0" w:color="auto"/>
            </w:tcBorders>
            <w:shd w:val="clear" w:color="auto" w:fill="auto"/>
            <w:noWrap/>
            <w:vAlign w:val="center"/>
            <w:hideMark/>
          </w:tcPr>
          <w:p w:rsidR="00E661DE" w:rsidRPr="00A97AA9" w:rsidRDefault="00E661DE" w:rsidP="007E27F3">
            <w:pPr>
              <w:pStyle w:val="TableText"/>
              <w:rPr>
                <w:sz w:val="16"/>
                <w:szCs w:val="16"/>
              </w:rPr>
            </w:pPr>
            <w:r w:rsidRPr="00A97AA9">
              <w:rPr>
                <w:sz w:val="16"/>
                <w:szCs w:val="16"/>
              </w:rPr>
              <w:t>24.5%</w:t>
            </w:r>
          </w:p>
        </w:tc>
      </w:tr>
      <w:tr w:rsidR="00E661DE" w:rsidRPr="00E661DE" w:rsidTr="007E27F3">
        <w:trPr>
          <w:trHeight w:val="300"/>
        </w:trPr>
        <w:tc>
          <w:tcPr>
            <w:tcW w:w="1960" w:type="dxa"/>
            <w:tcBorders>
              <w:top w:val="nil"/>
              <w:left w:val="single" w:sz="4" w:space="0" w:color="auto"/>
              <w:bottom w:val="single" w:sz="4" w:space="0" w:color="auto"/>
              <w:right w:val="single" w:sz="4" w:space="0" w:color="auto"/>
            </w:tcBorders>
            <w:shd w:val="clear" w:color="auto" w:fill="auto"/>
            <w:vAlign w:val="center"/>
            <w:hideMark/>
          </w:tcPr>
          <w:p w:rsidR="00E661DE" w:rsidRPr="00A97AA9" w:rsidRDefault="00E661DE" w:rsidP="007E27F3">
            <w:pPr>
              <w:pStyle w:val="TableText"/>
              <w:rPr>
                <w:color w:val="000000"/>
                <w:sz w:val="16"/>
                <w:szCs w:val="16"/>
              </w:rPr>
            </w:pPr>
            <w:r w:rsidRPr="00A97AA9">
              <w:rPr>
                <w:color w:val="000000"/>
                <w:sz w:val="16"/>
                <w:szCs w:val="16"/>
              </w:rPr>
              <w:t>No TI or AutoDR</w:t>
            </w:r>
          </w:p>
        </w:tc>
        <w:tc>
          <w:tcPr>
            <w:tcW w:w="1080" w:type="dxa"/>
            <w:tcBorders>
              <w:top w:val="nil"/>
              <w:left w:val="nil"/>
              <w:bottom w:val="single" w:sz="4" w:space="0" w:color="auto"/>
              <w:right w:val="nil"/>
            </w:tcBorders>
            <w:shd w:val="clear" w:color="auto" w:fill="auto"/>
            <w:vAlign w:val="center"/>
            <w:hideMark/>
          </w:tcPr>
          <w:p w:rsidR="00E661DE" w:rsidRPr="00A97AA9" w:rsidRDefault="00E661DE" w:rsidP="007E27F3">
            <w:pPr>
              <w:pStyle w:val="TableText"/>
              <w:rPr>
                <w:sz w:val="16"/>
                <w:szCs w:val="16"/>
              </w:rPr>
            </w:pPr>
            <w:r w:rsidRPr="00A97AA9">
              <w:rPr>
                <w:sz w:val="16"/>
                <w:szCs w:val="16"/>
              </w:rPr>
              <w:t>1,105</w:t>
            </w:r>
          </w:p>
        </w:tc>
        <w:tc>
          <w:tcPr>
            <w:tcW w:w="1020" w:type="dxa"/>
            <w:tcBorders>
              <w:top w:val="nil"/>
              <w:left w:val="single" w:sz="4" w:space="0" w:color="auto"/>
              <w:bottom w:val="single" w:sz="4" w:space="0" w:color="000000"/>
              <w:right w:val="nil"/>
            </w:tcBorders>
            <w:shd w:val="clear" w:color="auto" w:fill="auto"/>
            <w:noWrap/>
            <w:vAlign w:val="center"/>
            <w:hideMark/>
          </w:tcPr>
          <w:p w:rsidR="00E661DE" w:rsidRPr="00A97AA9" w:rsidRDefault="00E661DE" w:rsidP="007E27F3">
            <w:pPr>
              <w:pStyle w:val="TableText"/>
              <w:rPr>
                <w:sz w:val="16"/>
                <w:szCs w:val="16"/>
              </w:rPr>
            </w:pPr>
            <w:r w:rsidRPr="00A97AA9">
              <w:rPr>
                <w:sz w:val="16"/>
                <w:szCs w:val="16"/>
              </w:rPr>
              <w:t>10.7</w:t>
            </w:r>
          </w:p>
        </w:tc>
        <w:tc>
          <w:tcPr>
            <w:tcW w:w="1060" w:type="dxa"/>
            <w:tcBorders>
              <w:top w:val="nil"/>
              <w:left w:val="single" w:sz="4" w:space="0" w:color="auto"/>
              <w:bottom w:val="single" w:sz="4" w:space="0" w:color="000000"/>
              <w:right w:val="nil"/>
            </w:tcBorders>
            <w:shd w:val="clear" w:color="auto" w:fill="auto"/>
            <w:noWrap/>
            <w:vAlign w:val="center"/>
            <w:hideMark/>
          </w:tcPr>
          <w:p w:rsidR="00E661DE" w:rsidRPr="00A97AA9" w:rsidRDefault="00E661DE" w:rsidP="007E27F3">
            <w:pPr>
              <w:pStyle w:val="TableText"/>
              <w:rPr>
                <w:sz w:val="16"/>
                <w:szCs w:val="16"/>
              </w:rPr>
            </w:pPr>
            <w:r w:rsidRPr="00A97AA9">
              <w:rPr>
                <w:sz w:val="16"/>
                <w:szCs w:val="16"/>
              </w:rPr>
              <w:t>4.2%</w:t>
            </w:r>
          </w:p>
        </w:tc>
        <w:tc>
          <w:tcPr>
            <w:tcW w:w="1153" w:type="dxa"/>
            <w:tcBorders>
              <w:top w:val="nil"/>
              <w:left w:val="single" w:sz="4" w:space="0" w:color="auto"/>
              <w:bottom w:val="single" w:sz="4" w:space="0" w:color="000000"/>
              <w:right w:val="nil"/>
            </w:tcBorders>
            <w:shd w:val="clear" w:color="auto" w:fill="auto"/>
            <w:noWrap/>
            <w:vAlign w:val="center"/>
            <w:hideMark/>
          </w:tcPr>
          <w:p w:rsidR="00E661DE" w:rsidRPr="00A97AA9" w:rsidRDefault="00E661DE" w:rsidP="007E27F3">
            <w:pPr>
              <w:pStyle w:val="TableText"/>
              <w:rPr>
                <w:sz w:val="16"/>
                <w:szCs w:val="16"/>
              </w:rPr>
            </w:pPr>
            <w:r w:rsidRPr="00A97AA9">
              <w:rPr>
                <w:sz w:val="16"/>
                <w:szCs w:val="16"/>
              </w:rPr>
              <w:t>3.9%</w:t>
            </w:r>
          </w:p>
        </w:tc>
        <w:tc>
          <w:tcPr>
            <w:tcW w:w="1167" w:type="dxa"/>
            <w:tcBorders>
              <w:top w:val="nil"/>
              <w:left w:val="single" w:sz="4" w:space="0" w:color="auto"/>
              <w:bottom w:val="single" w:sz="4" w:space="0" w:color="000000"/>
              <w:right w:val="nil"/>
            </w:tcBorders>
            <w:shd w:val="clear" w:color="auto" w:fill="auto"/>
            <w:noWrap/>
            <w:vAlign w:val="center"/>
            <w:hideMark/>
          </w:tcPr>
          <w:p w:rsidR="00E661DE" w:rsidRPr="00A97AA9" w:rsidRDefault="00E661DE" w:rsidP="007E27F3">
            <w:pPr>
              <w:pStyle w:val="TableText"/>
              <w:rPr>
                <w:sz w:val="16"/>
                <w:szCs w:val="16"/>
              </w:rPr>
            </w:pPr>
            <w:r w:rsidRPr="00A97AA9">
              <w:rPr>
                <w:sz w:val="16"/>
                <w:szCs w:val="16"/>
              </w:rPr>
              <w:t>4.5%</w:t>
            </w:r>
          </w:p>
        </w:tc>
        <w:tc>
          <w:tcPr>
            <w:tcW w:w="1060" w:type="dxa"/>
            <w:tcBorders>
              <w:top w:val="nil"/>
              <w:left w:val="single" w:sz="4" w:space="0" w:color="auto"/>
              <w:bottom w:val="single" w:sz="4" w:space="0" w:color="000000"/>
              <w:right w:val="nil"/>
            </w:tcBorders>
            <w:shd w:val="clear" w:color="auto" w:fill="auto"/>
            <w:noWrap/>
            <w:vAlign w:val="center"/>
            <w:hideMark/>
          </w:tcPr>
          <w:p w:rsidR="00E661DE" w:rsidRPr="00A97AA9" w:rsidRDefault="00E661DE" w:rsidP="007E27F3">
            <w:pPr>
              <w:pStyle w:val="TableText"/>
              <w:rPr>
                <w:sz w:val="16"/>
                <w:szCs w:val="16"/>
              </w:rPr>
            </w:pPr>
            <w:r w:rsidRPr="00A97AA9">
              <w:rPr>
                <w:sz w:val="16"/>
                <w:szCs w:val="16"/>
              </w:rPr>
              <w:t>NA</w:t>
            </w:r>
          </w:p>
        </w:tc>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E661DE" w:rsidRPr="00A97AA9" w:rsidRDefault="00E661DE" w:rsidP="007E27F3">
            <w:pPr>
              <w:pStyle w:val="TableText"/>
              <w:rPr>
                <w:color w:val="000000"/>
                <w:sz w:val="16"/>
                <w:szCs w:val="16"/>
              </w:rPr>
            </w:pPr>
            <w:r w:rsidRPr="00A97AA9">
              <w:rPr>
                <w:color w:val="000000"/>
                <w:sz w:val="16"/>
                <w:szCs w:val="16"/>
              </w:rPr>
              <w:t>NA</w:t>
            </w:r>
          </w:p>
        </w:tc>
      </w:tr>
    </w:tbl>
    <w:p w:rsidR="00F35959" w:rsidRDefault="00A20174" w:rsidP="00EF5842">
      <w:pPr>
        <w:pStyle w:val="Heading2"/>
        <w:spacing w:before="360"/>
      </w:pPr>
      <w:bookmarkStart w:id="143" w:name="_Toc351480964"/>
      <w:bookmarkStart w:id="144" w:name="_Toc352323651"/>
      <w:bookmarkEnd w:id="143"/>
      <w:r>
        <w:t xml:space="preserve">Critical Peak Pricing </w:t>
      </w:r>
      <w:r w:rsidR="00394A69">
        <w:t>–</w:t>
      </w:r>
      <w:r>
        <w:t xml:space="preserve"> </w:t>
      </w:r>
      <w:r w:rsidR="00F35959">
        <w:t>E</w:t>
      </w:r>
      <w:r>
        <w:t>mergency</w:t>
      </w:r>
      <w:bookmarkEnd w:id="144"/>
    </w:p>
    <w:p w:rsidR="00F35959" w:rsidRDefault="006A6E40" w:rsidP="00F35959">
      <w:pPr>
        <w:pStyle w:val="BodyParagraph"/>
      </w:pPr>
      <w:r>
        <w:t>Prior to defaulting large C&amp;I customers to CPP-D in 2008, SDG&amp;E offered a voluntary non-r</w:t>
      </w:r>
      <w:r w:rsidR="00A20174">
        <w:t xml:space="preserve">esidential CPP tariff called Critical Peak Pricing </w:t>
      </w:r>
      <w:r w:rsidR="00394A69">
        <w:t>–</w:t>
      </w:r>
      <w:r w:rsidR="00A20174">
        <w:t xml:space="preserve"> Emergency (CPP-</w:t>
      </w:r>
      <w:r>
        <w:t>E</w:t>
      </w:r>
      <w:r w:rsidR="00A20174">
        <w:t>)</w:t>
      </w:r>
      <w:r>
        <w:t xml:space="preserve">.  Upon defaulting large customers to CPP-D, SDG&amp;E did not close the legacy CPP-E tariff. </w:t>
      </w:r>
      <w:r w:rsidR="00394A69">
        <w:t xml:space="preserve"> </w:t>
      </w:r>
      <w:r>
        <w:t xml:space="preserve">However, due to dwindling customer participation, SDG&amp;E proposed </w:t>
      </w:r>
      <w:r w:rsidR="00A20174">
        <w:t xml:space="preserve">closing the rate </w:t>
      </w:r>
      <w:r>
        <w:t>in its application to the CPUC for 2012</w:t>
      </w:r>
      <w:r w:rsidR="00502446">
        <w:t>–</w:t>
      </w:r>
      <w:r>
        <w:t>2014 demand response progra</w:t>
      </w:r>
      <w:r w:rsidR="00A20174">
        <w:t>ms and budgets</w:t>
      </w:r>
      <w:r>
        <w:t xml:space="preserve">.  </w:t>
      </w:r>
      <w:r w:rsidR="00A20174">
        <w:t>Later, i</w:t>
      </w:r>
      <w:r>
        <w:t xml:space="preserve">n light of the </w:t>
      </w:r>
      <w:r w:rsidR="00A20174">
        <w:t xml:space="preserve">protracted </w:t>
      </w:r>
      <w:r>
        <w:t>SONGS outage</w:t>
      </w:r>
      <w:r w:rsidR="00A20174">
        <w:t xml:space="preserve"> particularly affecting s</w:t>
      </w:r>
      <w:r w:rsidR="00C205FA">
        <w:t xml:space="preserve">outhern California, SDG&amp;E </w:t>
      </w:r>
      <w:r w:rsidR="00A20174">
        <w:t xml:space="preserve">proposed in </w:t>
      </w:r>
      <w:r>
        <w:t xml:space="preserve">Advice Letter 2373-E to retain the CPP-E rate through December 31, 2012. </w:t>
      </w:r>
      <w:r w:rsidR="004C47D8">
        <w:t xml:space="preserve"> </w:t>
      </w:r>
      <w:r>
        <w:t>The proposal to close CPP-E at the end of 2012 was approved.</w:t>
      </w:r>
    </w:p>
    <w:p w:rsidR="006A6E40" w:rsidRDefault="006A6E40" w:rsidP="00F35959">
      <w:pPr>
        <w:pStyle w:val="BodyParagraph"/>
      </w:pPr>
      <w:r>
        <w:t xml:space="preserve">Two CPP-E events were called in 2012, both on weekdays.  While technically not a part of the CPP-D program at SDG&amp;E, </w:t>
      </w:r>
      <w:r w:rsidR="00564E9A">
        <w:t xml:space="preserve">estimated </w:t>
      </w:r>
      <w:r w:rsidR="00A20174">
        <w:t xml:space="preserve">2012 </w:t>
      </w:r>
      <w:r>
        <w:t xml:space="preserve">load </w:t>
      </w:r>
      <w:r w:rsidR="00A20174">
        <w:t xml:space="preserve">impacts for CPP-E customers </w:t>
      </w:r>
      <w:r w:rsidR="00564E9A">
        <w:t xml:space="preserve">are shown </w:t>
      </w:r>
      <w:r w:rsidR="00A20174">
        <w:t>in Table 6-</w:t>
      </w:r>
      <w:r w:rsidR="004C47D8">
        <w:t>6</w:t>
      </w:r>
      <w:r w:rsidR="00A20174">
        <w:t xml:space="preserve"> for </w:t>
      </w:r>
      <w:r>
        <w:t>completeness.  Due to the very small number of customers taking this rate, these load impacts were estimated using individual customer regressions.</w:t>
      </w:r>
    </w:p>
    <w:p w:rsidR="00A20174" w:rsidRPr="00A20174" w:rsidRDefault="006A6E40" w:rsidP="00EF5842">
      <w:pPr>
        <w:pStyle w:val="TableFigureCaption"/>
      </w:pPr>
      <w:r w:rsidRPr="00A20174">
        <w:t>Table 6-</w:t>
      </w:r>
      <w:r w:rsidR="00394A69">
        <w:t>6</w:t>
      </w:r>
      <w:r w:rsidRPr="00A20174">
        <w:t>: Estimated Ex Post Load Impacts</w:t>
      </w:r>
      <w:r w:rsidR="00A20174" w:rsidRPr="00A20174">
        <w:t xml:space="preserve"> by Event Day</w:t>
      </w:r>
      <w:r w:rsidR="00EF5842">
        <w:br/>
      </w:r>
      <w:r w:rsidR="00A20174" w:rsidRPr="00A20174">
        <w:t>SDG&amp;E 2012 CPP-E Events</w:t>
      </w:r>
    </w:p>
    <w:tbl>
      <w:tblPr>
        <w:tblW w:w="5000" w:type="pct"/>
        <w:tblLook w:val="04A0" w:firstRow="1" w:lastRow="0" w:firstColumn="1" w:lastColumn="0" w:noHBand="0" w:noVBand="1"/>
      </w:tblPr>
      <w:tblGrid>
        <w:gridCol w:w="978"/>
        <w:gridCol w:w="860"/>
        <w:gridCol w:w="945"/>
        <w:gridCol w:w="990"/>
        <w:gridCol w:w="1015"/>
        <w:gridCol w:w="841"/>
        <w:gridCol w:w="1008"/>
        <w:gridCol w:w="1000"/>
        <w:gridCol w:w="824"/>
        <w:gridCol w:w="1115"/>
      </w:tblGrid>
      <w:tr w:rsidR="00EF5842" w:rsidRPr="006A6E40" w:rsidTr="00A97AA9">
        <w:trPr>
          <w:trHeight w:val="674"/>
        </w:trPr>
        <w:tc>
          <w:tcPr>
            <w:tcW w:w="511" w:type="pct"/>
            <w:tcBorders>
              <w:top w:val="single" w:sz="4" w:space="0" w:color="000000"/>
              <w:left w:val="single" w:sz="4" w:space="0" w:color="000000"/>
              <w:bottom w:val="single" w:sz="4" w:space="0" w:color="FFFFFF"/>
              <w:right w:val="single" w:sz="4" w:space="0" w:color="FFFFFF"/>
            </w:tcBorders>
            <w:shd w:val="clear" w:color="000000" w:fill="1F497D"/>
            <w:vAlign w:val="center"/>
            <w:hideMark/>
          </w:tcPr>
          <w:p w:rsidR="00EF5842" w:rsidRPr="00EF5842" w:rsidRDefault="00EF5842" w:rsidP="00A97AA9">
            <w:pPr>
              <w:pStyle w:val="TableHeader"/>
              <w:rPr>
                <w:sz w:val="16"/>
                <w:szCs w:val="16"/>
              </w:rPr>
            </w:pPr>
            <w:r w:rsidRPr="00EF5842">
              <w:rPr>
                <w:sz w:val="16"/>
                <w:szCs w:val="16"/>
              </w:rPr>
              <w:t>CPP-E Event</w:t>
            </w:r>
          </w:p>
        </w:tc>
        <w:tc>
          <w:tcPr>
            <w:tcW w:w="449" w:type="pct"/>
            <w:tcBorders>
              <w:top w:val="single" w:sz="4" w:space="0" w:color="000000"/>
              <w:left w:val="nil"/>
              <w:right w:val="single" w:sz="4" w:space="0" w:color="FFFFFF"/>
            </w:tcBorders>
            <w:shd w:val="clear" w:color="000000" w:fill="1F497D"/>
            <w:vAlign w:val="center"/>
            <w:hideMark/>
          </w:tcPr>
          <w:p w:rsidR="00EF5842" w:rsidRPr="00EF5842" w:rsidRDefault="00EF5842" w:rsidP="00A97AA9">
            <w:pPr>
              <w:pStyle w:val="TableHeader"/>
              <w:rPr>
                <w:sz w:val="16"/>
                <w:szCs w:val="16"/>
              </w:rPr>
            </w:pPr>
            <w:r w:rsidRPr="00EF5842">
              <w:rPr>
                <w:sz w:val="16"/>
                <w:szCs w:val="16"/>
              </w:rPr>
              <w:t>Day of Week</w:t>
            </w:r>
          </w:p>
        </w:tc>
        <w:tc>
          <w:tcPr>
            <w:tcW w:w="493" w:type="pct"/>
            <w:tcBorders>
              <w:top w:val="single" w:sz="4" w:space="0" w:color="000000"/>
              <w:left w:val="single" w:sz="4" w:space="0" w:color="FFFFFF"/>
              <w:bottom w:val="single" w:sz="4" w:space="0" w:color="000000"/>
              <w:right w:val="single" w:sz="4" w:space="0" w:color="FFFFFF"/>
            </w:tcBorders>
            <w:shd w:val="clear" w:color="000000" w:fill="1F497D"/>
            <w:vAlign w:val="center"/>
            <w:hideMark/>
          </w:tcPr>
          <w:p w:rsidR="00EF5842" w:rsidRPr="00EF5842" w:rsidRDefault="00EF5842" w:rsidP="00A97AA9">
            <w:pPr>
              <w:pStyle w:val="TableHeader"/>
              <w:rPr>
                <w:sz w:val="16"/>
                <w:szCs w:val="16"/>
              </w:rPr>
            </w:pPr>
            <w:r w:rsidRPr="00EF5842">
              <w:rPr>
                <w:sz w:val="16"/>
                <w:szCs w:val="16"/>
              </w:rPr>
              <w:t>Accounts</w:t>
            </w:r>
          </w:p>
        </w:tc>
        <w:tc>
          <w:tcPr>
            <w:tcW w:w="517" w:type="pct"/>
            <w:tcBorders>
              <w:top w:val="single" w:sz="4" w:space="0" w:color="000000"/>
              <w:left w:val="nil"/>
              <w:bottom w:val="single" w:sz="4" w:space="0" w:color="auto"/>
              <w:right w:val="single" w:sz="4" w:space="0" w:color="FFFFFF"/>
            </w:tcBorders>
            <w:shd w:val="clear" w:color="000000" w:fill="1F497D"/>
            <w:vAlign w:val="center"/>
            <w:hideMark/>
          </w:tcPr>
          <w:p w:rsidR="00EF5842" w:rsidRPr="00EF5842" w:rsidRDefault="00EF5842" w:rsidP="00A97AA9">
            <w:pPr>
              <w:pStyle w:val="TableHeader"/>
              <w:rPr>
                <w:sz w:val="16"/>
                <w:szCs w:val="16"/>
              </w:rPr>
            </w:pPr>
            <w:r w:rsidRPr="00EF5842">
              <w:rPr>
                <w:sz w:val="16"/>
                <w:szCs w:val="16"/>
              </w:rPr>
              <w:t>Avg. Customer Reference Load</w:t>
            </w:r>
            <w:r>
              <w:rPr>
                <w:sz w:val="16"/>
                <w:szCs w:val="16"/>
              </w:rPr>
              <w:t xml:space="preserve"> </w:t>
            </w:r>
            <w:r w:rsidRPr="00EF5842">
              <w:rPr>
                <w:sz w:val="16"/>
                <w:szCs w:val="16"/>
              </w:rPr>
              <w:t>(kW)</w:t>
            </w:r>
          </w:p>
        </w:tc>
        <w:tc>
          <w:tcPr>
            <w:tcW w:w="530" w:type="pct"/>
            <w:tcBorders>
              <w:top w:val="single" w:sz="4" w:space="0" w:color="000000"/>
              <w:left w:val="nil"/>
              <w:bottom w:val="single" w:sz="4" w:space="0" w:color="auto"/>
              <w:right w:val="single" w:sz="4" w:space="0" w:color="FFFFFF"/>
            </w:tcBorders>
            <w:shd w:val="clear" w:color="000000" w:fill="1F497D"/>
            <w:vAlign w:val="center"/>
            <w:hideMark/>
          </w:tcPr>
          <w:p w:rsidR="00EF5842" w:rsidRPr="00EF5842" w:rsidRDefault="00EF5842" w:rsidP="00A97AA9">
            <w:pPr>
              <w:pStyle w:val="TableHeader"/>
              <w:rPr>
                <w:sz w:val="16"/>
                <w:szCs w:val="16"/>
              </w:rPr>
            </w:pPr>
            <w:r w:rsidRPr="00EF5842">
              <w:rPr>
                <w:sz w:val="16"/>
                <w:szCs w:val="16"/>
              </w:rPr>
              <w:t>Avg. Customer Load w/ DR</w:t>
            </w:r>
            <w:r>
              <w:rPr>
                <w:sz w:val="16"/>
                <w:szCs w:val="16"/>
              </w:rPr>
              <w:t xml:space="preserve"> </w:t>
            </w:r>
            <w:r w:rsidRPr="00EF5842">
              <w:rPr>
                <w:sz w:val="16"/>
                <w:szCs w:val="16"/>
              </w:rPr>
              <w:t>(kW)</w:t>
            </w:r>
          </w:p>
        </w:tc>
        <w:tc>
          <w:tcPr>
            <w:tcW w:w="439" w:type="pct"/>
            <w:tcBorders>
              <w:top w:val="single" w:sz="4" w:space="0" w:color="000000"/>
              <w:left w:val="nil"/>
              <w:bottom w:val="single" w:sz="4" w:space="0" w:color="auto"/>
              <w:right w:val="single" w:sz="4" w:space="0" w:color="FFFFFF"/>
            </w:tcBorders>
            <w:shd w:val="clear" w:color="000000" w:fill="1F497D"/>
            <w:vAlign w:val="center"/>
            <w:hideMark/>
          </w:tcPr>
          <w:p w:rsidR="00EF5842" w:rsidRPr="00EF5842" w:rsidRDefault="00EF5842" w:rsidP="00A97AA9">
            <w:pPr>
              <w:pStyle w:val="TableHeader"/>
              <w:rPr>
                <w:sz w:val="16"/>
                <w:szCs w:val="16"/>
              </w:rPr>
            </w:pPr>
            <w:r w:rsidRPr="00EF5842">
              <w:rPr>
                <w:sz w:val="16"/>
                <w:szCs w:val="16"/>
              </w:rPr>
              <w:t>Impact</w:t>
            </w:r>
            <w:r>
              <w:rPr>
                <w:sz w:val="16"/>
                <w:szCs w:val="16"/>
              </w:rPr>
              <w:t xml:space="preserve"> </w:t>
            </w:r>
            <w:r w:rsidRPr="00EF5842">
              <w:rPr>
                <w:sz w:val="16"/>
                <w:szCs w:val="16"/>
              </w:rPr>
              <w:t>(kW)</w:t>
            </w:r>
          </w:p>
        </w:tc>
        <w:tc>
          <w:tcPr>
            <w:tcW w:w="526" w:type="pct"/>
            <w:tcBorders>
              <w:top w:val="single" w:sz="4" w:space="0" w:color="000000"/>
              <w:left w:val="nil"/>
              <w:bottom w:val="single" w:sz="4" w:space="0" w:color="auto"/>
              <w:right w:val="single" w:sz="4" w:space="0" w:color="FFFFFF"/>
            </w:tcBorders>
            <w:shd w:val="clear" w:color="000000" w:fill="1F497D"/>
            <w:vAlign w:val="center"/>
            <w:hideMark/>
          </w:tcPr>
          <w:p w:rsidR="00EF5842" w:rsidRPr="00EF5842" w:rsidRDefault="00EF5842" w:rsidP="00A97AA9">
            <w:pPr>
              <w:pStyle w:val="TableHeader"/>
              <w:rPr>
                <w:sz w:val="16"/>
                <w:szCs w:val="16"/>
              </w:rPr>
            </w:pPr>
            <w:r w:rsidRPr="00EF5842">
              <w:rPr>
                <w:sz w:val="16"/>
                <w:szCs w:val="16"/>
              </w:rPr>
              <w:t>Aggregate Impact</w:t>
            </w:r>
            <w:r>
              <w:rPr>
                <w:sz w:val="16"/>
                <w:szCs w:val="16"/>
              </w:rPr>
              <w:t xml:space="preserve"> </w:t>
            </w:r>
            <w:r w:rsidRPr="00EF5842">
              <w:rPr>
                <w:sz w:val="16"/>
                <w:szCs w:val="16"/>
              </w:rPr>
              <w:t>(MW)</w:t>
            </w:r>
          </w:p>
        </w:tc>
        <w:tc>
          <w:tcPr>
            <w:tcW w:w="522" w:type="pct"/>
            <w:tcBorders>
              <w:top w:val="single" w:sz="4" w:space="0" w:color="000000"/>
              <w:left w:val="nil"/>
              <w:bottom w:val="single" w:sz="4" w:space="0" w:color="auto"/>
              <w:right w:val="single" w:sz="4" w:space="0" w:color="FFFFFF"/>
            </w:tcBorders>
            <w:shd w:val="clear" w:color="000000" w:fill="1F497D"/>
            <w:vAlign w:val="center"/>
            <w:hideMark/>
          </w:tcPr>
          <w:p w:rsidR="00EF5842" w:rsidRPr="00EF5842" w:rsidRDefault="00EF5842" w:rsidP="00A97AA9">
            <w:pPr>
              <w:pStyle w:val="TableHeader"/>
              <w:rPr>
                <w:sz w:val="16"/>
                <w:szCs w:val="16"/>
              </w:rPr>
            </w:pPr>
            <w:r w:rsidRPr="00EF5842">
              <w:rPr>
                <w:sz w:val="16"/>
                <w:szCs w:val="16"/>
              </w:rPr>
              <w:t>Reduction</w:t>
            </w:r>
            <w:r>
              <w:rPr>
                <w:sz w:val="16"/>
                <w:szCs w:val="16"/>
              </w:rPr>
              <w:t xml:space="preserve"> </w:t>
            </w:r>
            <w:r w:rsidRPr="00EF5842">
              <w:rPr>
                <w:sz w:val="16"/>
                <w:szCs w:val="16"/>
              </w:rPr>
              <w:t>%</w:t>
            </w:r>
          </w:p>
        </w:tc>
        <w:tc>
          <w:tcPr>
            <w:tcW w:w="430" w:type="pct"/>
            <w:tcBorders>
              <w:top w:val="single" w:sz="4" w:space="0" w:color="000000"/>
              <w:left w:val="nil"/>
              <w:bottom w:val="single" w:sz="4" w:space="0" w:color="auto"/>
              <w:right w:val="single" w:sz="4" w:space="0" w:color="FFFFFF"/>
            </w:tcBorders>
            <w:shd w:val="clear" w:color="000000" w:fill="1F497D"/>
            <w:vAlign w:val="center"/>
            <w:hideMark/>
          </w:tcPr>
          <w:p w:rsidR="00EF5842" w:rsidRPr="00EF5842" w:rsidRDefault="00EF5842" w:rsidP="00A97AA9">
            <w:pPr>
              <w:pStyle w:val="TableHeader"/>
              <w:rPr>
                <w:sz w:val="16"/>
                <w:szCs w:val="16"/>
              </w:rPr>
            </w:pPr>
            <w:r w:rsidRPr="00EF5842">
              <w:rPr>
                <w:sz w:val="16"/>
                <w:szCs w:val="16"/>
              </w:rPr>
              <w:t>Avg. Temp</w:t>
            </w:r>
            <w:r>
              <w:rPr>
                <w:sz w:val="16"/>
                <w:szCs w:val="16"/>
              </w:rPr>
              <w:t xml:space="preserve"> </w:t>
            </w:r>
            <w:r w:rsidRPr="00EF5842">
              <w:rPr>
                <w:sz w:val="16"/>
                <w:szCs w:val="16"/>
              </w:rPr>
              <w:t>°F</w:t>
            </w:r>
          </w:p>
        </w:tc>
        <w:tc>
          <w:tcPr>
            <w:tcW w:w="582" w:type="pct"/>
            <w:tcBorders>
              <w:top w:val="single" w:sz="4" w:space="0" w:color="000000"/>
              <w:left w:val="nil"/>
              <w:bottom w:val="single" w:sz="4" w:space="0" w:color="auto"/>
              <w:right w:val="single" w:sz="4" w:space="0" w:color="000000"/>
            </w:tcBorders>
            <w:shd w:val="clear" w:color="000000" w:fill="1F497D"/>
            <w:vAlign w:val="center"/>
            <w:hideMark/>
          </w:tcPr>
          <w:p w:rsidR="00EF5842" w:rsidRPr="00EF5842" w:rsidRDefault="00EF5842" w:rsidP="00A97AA9">
            <w:pPr>
              <w:pStyle w:val="TableHeader"/>
              <w:rPr>
                <w:sz w:val="16"/>
                <w:szCs w:val="16"/>
              </w:rPr>
            </w:pPr>
            <w:r w:rsidRPr="00EF5842">
              <w:rPr>
                <w:sz w:val="16"/>
                <w:szCs w:val="16"/>
              </w:rPr>
              <w:t>Stat. significant?</w:t>
            </w:r>
          </w:p>
          <w:p w:rsidR="00EF5842" w:rsidRPr="00EF5842" w:rsidRDefault="00EF5842" w:rsidP="00A97AA9">
            <w:pPr>
              <w:pStyle w:val="TableHeader"/>
              <w:rPr>
                <w:sz w:val="16"/>
                <w:szCs w:val="16"/>
              </w:rPr>
            </w:pPr>
          </w:p>
        </w:tc>
      </w:tr>
      <w:tr w:rsidR="006A6E40" w:rsidRPr="006A6E40" w:rsidTr="00FB0DDB">
        <w:trPr>
          <w:trHeight w:val="300"/>
        </w:trPr>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A6E40" w:rsidRPr="00EF5842" w:rsidRDefault="006A6E40" w:rsidP="00EF5842">
            <w:pPr>
              <w:pStyle w:val="TableText"/>
              <w:rPr>
                <w:sz w:val="16"/>
                <w:szCs w:val="16"/>
              </w:rPr>
            </w:pPr>
            <w:r w:rsidRPr="00EF5842">
              <w:rPr>
                <w:sz w:val="16"/>
                <w:szCs w:val="16"/>
              </w:rPr>
              <w:t>8/13/2012</w:t>
            </w:r>
          </w:p>
        </w:tc>
        <w:tc>
          <w:tcPr>
            <w:tcW w:w="449" w:type="pct"/>
            <w:tcBorders>
              <w:top w:val="single" w:sz="4" w:space="0" w:color="auto"/>
              <w:left w:val="nil"/>
              <w:bottom w:val="single" w:sz="4" w:space="0" w:color="auto"/>
              <w:right w:val="single" w:sz="4" w:space="0" w:color="auto"/>
            </w:tcBorders>
            <w:shd w:val="clear" w:color="auto" w:fill="auto"/>
            <w:vAlign w:val="center"/>
            <w:hideMark/>
          </w:tcPr>
          <w:p w:rsidR="006A6E40" w:rsidRPr="00EF5842" w:rsidRDefault="006A6E40" w:rsidP="00EF5842">
            <w:pPr>
              <w:pStyle w:val="TableText"/>
              <w:rPr>
                <w:sz w:val="16"/>
                <w:szCs w:val="16"/>
              </w:rPr>
            </w:pPr>
            <w:r w:rsidRPr="00EF5842">
              <w:rPr>
                <w:sz w:val="16"/>
                <w:szCs w:val="16"/>
              </w:rPr>
              <w:t>Mon</w:t>
            </w:r>
          </w:p>
        </w:tc>
        <w:tc>
          <w:tcPr>
            <w:tcW w:w="493"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5</w:t>
            </w:r>
          </w:p>
        </w:tc>
        <w:tc>
          <w:tcPr>
            <w:tcW w:w="517" w:type="pct"/>
            <w:tcBorders>
              <w:top w:val="single" w:sz="4" w:space="0" w:color="auto"/>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377.5</w:t>
            </w:r>
          </w:p>
        </w:tc>
        <w:tc>
          <w:tcPr>
            <w:tcW w:w="530" w:type="pct"/>
            <w:tcBorders>
              <w:top w:val="single" w:sz="4" w:space="0" w:color="auto"/>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143.9</w:t>
            </w:r>
          </w:p>
        </w:tc>
        <w:tc>
          <w:tcPr>
            <w:tcW w:w="439" w:type="pct"/>
            <w:tcBorders>
              <w:top w:val="single" w:sz="4" w:space="0" w:color="auto"/>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233.6</w:t>
            </w:r>
          </w:p>
        </w:tc>
        <w:tc>
          <w:tcPr>
            <w:tcW w:w="526" w:type="pct"/>
            <w:tcBorders>
              <w:top w:val="single" w:sz="4" w:space="0" w:color="auto"/>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1.2</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61.9%</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80.7</w:t>
            </w:r>
          </w:p>
        </w:tc>
        <w:tc>
          <w:tcPr>
            <w:tcW w:w="582" w:type="pct"/>
            <w:tcBorders>
              <w:top w:val="single" w:sz="4" w:space="0" w:color="auto"/>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Yes</w:t>
            </w:r>
          </w:p>
        </w:tc>
      </w:tr>
      <w:tr w:rsidR="006A6E40" w:rsidRPr="006A6E40" w:rsidTr="00FB0DDB">
        <w:trPr>
          <w:trHeight w:val="300"/>
        </w:trPr>
        <w:tc>
          <w:tcPr>
            <w:tcW w:w="511" w:type="pct"/>
            <w:tcBorders>
              <w:top w:val="nil"/>
              <w:left w:val="single" w:sz="4" w:space="0" w:color="auto"/>
              <w:bottom w:val="single" w:sz="4" w:space="0" w:color="auto"/>
              <w:right w:val="single" w:sz="4" w:space="0" w:color="auto"/>
            </w:tcBorders>
            <w:shd w:val="clear" w:color="auto" w:fill="auto"/>
            <w:vAlign w:val="center"/>
            <w:hideMark/>
          </w:tcPr>
          <w:p w:rsidR="006A6E40" w:rsidRPr="00EF5842" w:rsidRDefault="006A6E40" w:rsidP="00EF5842">
            <w:pPr>
              <w:pStyle w:val="TableText"/>
              <w:rPr>
                <w:sz w:val="16"/>
                <w:szCs w:val="16"/>
              </w:rPr>
            </w:pPr>
            <w:r w:rsidRPr="00EF5842">
              <w:rPr>
                <w:sz w:val="16"/>
                <w:szCs w:val="16"/>
              </w:rPr>
              <w:t>9/14/2012</w:t>
            </w:r>
          </w:p>
        </w:tc>
        <w:tc>
          <w:tcPr>
            <w:tcW w:w="449" w:type="pct"/>
            <w:tcBorders>
              <w:top w:val="nil"/>
              <w:left w:val="nil"/>
              <w:bottom w:val="single" w:sz="4" w:space="0" w:color="auto"/>
              <w:right w:val="single" w:sz="4" w:space="0" w:color="auto"/>
            </w:tcBorders>
            <w:shd w:val="clear" w:color="auto" w:fill="auto"/>
            <w:vAlign w:val="center"/>
            <w:hideMark/>
          </w:tcPr>
          <w:p w:rsidR="006A6E40" w:rsidRPr="00EF5842" w:rsidRDefault="006A6E40" w:rsidP="00EF5842">
            <w:pPr>
              <w:pStyle w:val="TableText"/>
              <w:rPr>
                <w:sz w:val="16"/>
                <w:szCs w:val="16"/>
              </w:rPr>
            </w:pPr>
            <w:r w:rsidRPr="00EF5842">
              <w:rPr>
                <w:sz w:val="16"/>
                <w:szCs w:val="16"/>
              </w:rPr>
              <w:t>Fri</w:t>
            </w:r>
          </w:p>
        </w:tc>
        <w:tc>
          <w:tcPr>
            <w:tcW w:w="493"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5</w:t>
            </w:r>
          </w:p>
        </w:tc>
        <w:tc>
          <w:tcPr>
            <w:tcW w:w="517"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324.6</w:t>
            </w:r>
          </w:p>
        </w:tc>
        <w:tc>
          <w:tcPr>
            <w:tcW w:w="530"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147.6</w:t>
            </w:r>
          </w:p>
        </w:tc>
        <w:tc>
          <w:tcPr>
            <w:tcW w:w="439"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177.0</w:t>
            </w:r>
          </w:p>
        </w:tc>
        <w:tc>
          <w:tcPr>
            <w:tcW w:w="526"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0.9</w:t>
            </w:r>
          </w:p>
        </w:tc>
        <w:tc>
          <w:tcPr>
            <w:tcW w:w="522"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54.5%</w:t>
            </w:r>
          </w:p>
        </w:tc>
        <w:tc>
          <w:tcPr>
            <w:tcW w:w="430"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88.2</w:t>
            </w:r>
          </w:p>
        </w:tc>
        <w:tc>
          <w:tcPr>
            <w:tcW w:w="582"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Yes</w:t>
            </w:r>
          </w:p>
        </w:tc>
      </w:tr>
      <w:tr w:rsidR="006A6E40" w:rsidRPr="006A6E40" w:rsidTr="00FB0DDB">
        <w:trPr>
          <w:trHeight w:val="300"/>
        </w:trPr>
        <w:tc>
          <w:tcPr>
            <w:tcW w:w="960"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6A6E40" w:rsidRPr="00EF5842" w:rsidRDefault="006A6E40" w:rsidP="00EF5842">
            <w:pPr>
              <w:pStyle w:val="TableText"/>
              <w:rPr>
                <w:sz w:val="16"/>
                <w:szCs w:val="16"/>
              </w:rPr>
            </w:pPr>
            <w:r w:rsidRPr="00EF5842">
              <w:rPr>
                <w:sz w:val="16"/>
                <w:szCs w:val="16"/>
              </w:rPr>
              <w:t>Avg. Event</w:t>
            </w:r>
          </w:p>
        </w:tc>
        <w:tc>
          <w:tcPr>
            <w:tcW w:w="493"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5</w:t>
            </w:r>
          </w:p>
        </w:tc>
        <w:tc>
          <w:tcPr>
            <w:tcW w:w="517"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351.1</w:t>
            </w:r>
          </w:p>
        </w:tc>
        <w:tc>
          <w:tcPr>
            <w:tcW w:w="530"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145.8</w:t>
            </w:r>
          </w:p>
        </w:tc>
        <w:tc>
          <w:tcPr>
            <w:tcW w:w="439"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205.3</w:t>
            </w:r>
          </w:p>
        </w:tc>
        <w:tc>
          <w:tcPr>
            <w:tcW w:w="526"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1.0</w:t>
            </w:r>
          </w:p>
        </w:tc>
        <w:tc>
          <w:tcPr>
            <w:tcW w:w="522"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58.5%</w:t>
            </w:r>
          </w:p>
        </w:tc>
        <w:tc>
          <w:tcPr>
            <w:tcW w:w="430"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84.4</w:t>
            </w:r>
          </w:p>
        </w:tc>
        <w:tc>
          <w:tcPr>
            <w:tcW w:w="582" w:type="pct"/>
            <w:tcBorders>
              <w:top w:val="nil"/>
              <w:left w:val="nil"/>
              <w:bottom w:val="single" w:sz="4" w:space="0" w:color="auto"/>
              <w:right w:val="single" w:sz="4" w:space="0" w:color="auto"/>
            </w:tcBorders>
            <w:shd w:val="clear" w:color="auto" w:fill="auto"/>
            <w:noWrap/>
            <w:vAlign w:val="center"/>
            <w:hideMark/>
          </w:tcPr>
          <w:p w:rsidR="006A6E40" w:rsidRPr="00EF5842" w:rsidRDefault="006A6E40" w:rsidP="00EF5842">
            <w:pPr>
              <w:pStyle w:val="TableText"/>
              <w:rPr>
                <w:sz w:val="16"/>
                <w:szCs w:val="16"/>
              </w:rPr>
            </w:pPr>
            <w:r w:rsidRPr="00EF5842">
              <w:rPr>
                <w:sz w:val="16"/>
                <w:szCs w:val="16"/>
              </w:rPr>
              <w:t>Yes</w:t>
            </w:r>
          </w:p>
        </w:tc>
      </w:tr>
    </w:tbl>
    <w:p w:rsidR="00FB0DDB" w:rsidRDefault="00FB0DDB" w:rsidP="00FB0DDB">
      <w:pPr>
        <w:pStyle w:val="Heading1"/>
        <w:numPr>
          <w:ilvl w:val="0"/>
          <w:numId w:val="0"/>
        </w:numPr>
        <w:ind w:left="432"/>
      </w:pPr>
      <w:bookmarkStart w:id="145" w:name="_Toc326072128"/>
    </w:p>
    <w:p w:rsidR="00FB0DDB" w:rsidRDefault="00FB0DDB" w:rsidP="00FB0DDB">
      <w:pPr>
        <w:pStyle w:val="BodyParagraph"/>
        <w:rPr>
          <w:rFonts w:eastAsia="Times New Roman" w:cs="Times New Roman"/>
          <w:color w:val="403152" w:themeColor="accent4" w:themeShade="80"/>
          <w:sz w:val="28"/>
          <w:szCs w:val="28"/>
        </w:rPr>
      </w:pPr>
      <w:r>
        <w:br w:type="page"/>
      </w:r>
    </w:p>
    <w:p w:rsidR="00DA41F5" w:rsidRDefault="00DA41F5" w:rsidP="00DA41F5">
      <w:pPr>
        <w:pStyle w:val="Heading1"/>
      </w:pPr>
      <w:bookmarkStart w:id="146" w:name="_Toc286998010"/>
      <w:bookmarkStart w:id="147" w:name="_Toc326072137"/>
      <w:bookmarkStart w:id="148" w:name="_Toc352323652"/>
      <w:bookmarkEnd w:id="145"/>
      <w:r>
        <w:lastRenderedPageBreak/>
        <w:t>PG&amp;E Ex Ante Load Impacts</w:t>
      </w:r>
      <w:bookmarkEnd w:id="148"/>
    </w:p>
    <w:p w:rsidR="00474450" w:rsidRDefault="007E68AA" w:rsidP="007E68AA">
      <w:pPr>
        <w:pStyle w:val="BodyParagraph"/>
        <w:rPr>
          <w:highlight w:val="yellow"/>
        </w:rPr>
      </w:pPr>
      <w:r w:rsidRPr="007954D4">
        <w:t xml:space="preserve">This section presents ex ante load impact estimates for </w:t>
      </w:r>
      <w:r>
        <w:t>PG&amp;E's</w:t>
      </w:r>
      <w:r w:rsidRPr="007954D4">
        <w:t xml:space="preserve"> </w:t>
      </w:r>
      <w:r>
        <w:t>non-residential CPP tariff.  The main purpose of ex ante load impact estimates is to reflect the load reduction capability of a demand response resource under a standard set of conditions that align with system planning.  These estimates are used in assessing alternatives for meeting peak demand, cost-effectiveness comparisons and long</w:t>
      </w:r>
      <w:r w:rsidR="00502446">
        <w:t xml:space="preserve"> </w:t>
      </w:r>
      <w:r>
        <w:t xml:space="preserve">term planning.  The ex ante impact estimates </w:t>
      </w:r>
      <w:r w:rsidR="00474450">
        <w:t xml:space="preserve">for PG&amp;E </w:t>
      </w:r>
      <w:r>
        <w:t xml:space="preserve">are based on all historical event information since the implementation of default CPP in 2010.  In total, </w:t>
      </w:r>
      <w:r w:rsidR="00474450">
        <w:t>load impact estimates for u</w:t>
      </w:r>
      <w:r>
        <w:t>p to</w:t>
      </w:r>
      <w:r w:rsidR="00564E9A">
        <w:t> </w:t>
      </w:r>
      <w:r>
        <w:t xml:space="preserve">27 events were </w:t>
      </w:r>
      <w:r w:rsidR="00474450">
        <w:t xml:space="preserve">used as input to the ex ante model.  </w:t>
      </w:r>
      <w:r>
        <w:t xml:space="preserve">All </w:t>
      </w:r>
      <w:r w:rsidR="00474450">
        <w:t>load impact</w:t>
      </w:r>
      <w:r>
        <w:t xml:space="preserve"> estimates presented </w:t>
      </w:r>
      <w:r w:rsidR="00474450">
        <w:t xml:space="preserve">here </w:t>
      </w:r>
      <w:r>
        <w:t xml:space="preserve">are incremental to the effects of the underlying TOU rates.  </w:t>
      </w:r>
      <w:r w:rsidR="00474450">
        <w:t xml:space="preserve">As discussed in </w:t>
      </w:r>
      <w:r w:rsidRPr="00474450">
        <w:t xml:space="preserve">Section </w:t>
      </w:r>
      <w:r w:rsidR="00575AF5" w:rsidRPr="00474450">
        <w:t>3.4</w:t>
      </w:r>
      <w:r w:rsidR="00966314" w:rsidRPr="00340FC0">
        <w:t>,</w:t>
      </w:r>
      <w:r w:rsidRPr="00474450">
        <w:t xml:space="preserve"> </w:t>
      </w:r>
      <w:r w:rsidR="00474450" w:rsidRPr="00474450">
        <w:t>the impacts</w:t>
      </w:r>
      <w:r w:rsidR="00474450">
        <w:t xml:space="preserve"> are based on individual customer regressions, not the difference-in-differences output used to estimate ex</w:t>
      </w:r>
      <w:r w:rsidR="00564E9A">
        <w:t> </w:t>
      </w:r>
      <w:r w:rsidR="00474450">
        <w:t xml:space="preserve">post </w:t>
      </w:r>
      <w:r w:rsidR="00474450" w:rsidRPr="00474450">
        <w:t>impacts</w:t>
      </w:r>
      <w:r w:rsidR="00966314" w:rsidRPr="00340FC0">
        <w:t>.</w:t>
      </w:r>
    </w:p>
    <w:p w:rsidR="007E68AA" w:rsidRDefault="007E68AA" w:rsidP="007E68AA">
      <w:pPr>
        <w:pStyle w:val="BodyParagraph"/>
      </w:pPr>
      <w:r>
        <w:t>T</w:t>
      </w:r>
      <w:r w:rsidRPr="00B73C21">
        <w:t xml:space="preserve">his section presents the ex ante load impact projections </w:t>
      </w:r>
      <w:r w:rsidR="00474450">
        <w:t xml:space="preserve">separately </w:t>
      </w:r>
      <w:r w:rsidRPr="00B73C21">
        <w:t xml:space="preserve">for medium and large customers projected to receive service under PG&amp;E’s </w:t>
      </w:r>
      <w:r>
        <w:t xml:space="preserve">default </w:t>
      </w:r>
      <w:r w:rsidRPr="00B73C21">
        <w:t xml:space="preserve">CPP tariff.  </w:t>
      </w:r>
      <w:r>
        <w:t>L</w:t>
      </w:r>
      <w:r w:rsidRPr="00B73C21">
        <w:t xml:space="preserve">oad reduction capability is summarized </w:t>
      </w:r>
      <w:r>
        <w:t>for each segment under</w:t>
      </w:r>
      <w:r w:rsidRPr="00B73C21">
        <w:t xml:space="preserve"> annual system peak day condition</w:t>
      </w:r>
      <w:r>
        <w:t>s for</w:t>
      </w:r>
      <w:r w:rsidRPr="00B73C21">
        <w:t xml:space="preserve"> </w:t>
      </w:r>
      <w:r>
        <w:t xml:space="preserve">a </w:t>
      </w:r>
      <w:r w:rsidRPr="00B73C21">
        <w:t>1-in-2 and a 1</w:t>
      </w:r>
      <w:r>
        <w:t>-in-10 weather year for the 2012 to 2023</w:t>
      </w:r>
      <w:r w:rsidRPr="00B73C21">
        <w:t xml:space="preserve"> period. </w:t>
      </w:r>
      <w:r>
        <w:t xml:space="preserve"> </w:t>
      </w:r>
      <w:r w:rsidR="00474450">
        <w:t xml:space="preserve">The estimates presented here are not derated </w:t>
      </w:r>
      <w:r>
        <w:t xml:space="preserve">for dual enrollment of CPP participants in other DR programs.  </w:t>
      </w:r>
      <w:r w:rsidR="00474450">
        <w:t xml:space="preserve">Portfolio estimates that net out impacts for other programs if called at the same time are contained in Appendix </w:t>
      </w:r>
      <w:r w:rsidR="00320D15">
        <w:t>D</w:t>
      </w:r>
      <w:r w:rsidR="00474450">
        <w:t xml:space="preserve">.  </w:t>
      </w:r>
      <w:r>
        <w:t>I</w:t>
      </w:r>
      <w:r w:rsidRPr="00B73C21">
        <w:t xml:space="preserve">n addition, this section </w:t>
      </w:r>
      <w:r>
        <w:t xml:space="preserve">illustrates </w:t>
      </w:r>
      <w:r w:rsidRPr="00B73C21">
        <w:t xml:space="preserve">how impacts </w:t>
      </w:r>
      <w:r>
        <w:t xml:space="preserve">per customer </w:t>
      </w:r>
      <w:r w:rsidRPr="00B73C21">
        <w:t>vary by geographic</w:t>
      </w:r>
      <w:r>
        <w:t xml:space="preserve"> location and month under</w:t>
      </w:r>
      <w:r w:rsidRPr="00B73C21">
        <w:t xml:space="preserve"> standardized ex ante conditions.</w:t>
      </w:r>
      <w:r>
        <w:t xml:space="preserve">  </w:t>
      </w:r>
    </w:p>
    <w:p w:rsidR="007E68AA" w:rsidRPr="002B5AC6" w:rsidRDefault="007E68AA">
      <w:pPr>
        <w:pStyle w:val="BodyParagraph"/>
        <w:rPr>
          <w:szCs w:val="18"/>
        </w:rPr>
      </w:pPr>
      <w:r>
        <w:t xml:space="preserve">Ex ante load impacts </w:t>
      </w:r>
      <w:r w:rsidR="00A72BAF">
        <w:t>take into account</w:t>
      </w:r>
      <w:r>
        <w:t xml:space="preserve"> both utility enrollment forecasts and changes to the design of</w:t>
      </w:r>
      <w:r w:rsidR="00564E9A">
        <w:t> </w:t>
      </w:r>
      <w:r>
        <w:t xml:space="preserve">default CPP ordered or approved by the CPUC.  This section details how weather, enrollment and program changes affect any differences between ex post and ex ante impacts.  Two substantive changes are </w:t>
      </w:r>
      <w:r w:rsidRPr="00FB143E">
        <w:rPr>
          <w:szCs w:val="18"/>
        </w:rPr>
        <w:t>scheduled for PG&amp;E in the 2013</w:t>
      </w:r>
      <w:r w:rsidR="00502446">
        <w:rPr>
          <w:szCs w:val="18"/>
        </w:rPr>
        <w:t>–</w:t>
      </w:r>
      <w:r w:rsidRPr="00FB143E">
        <w:rPr>
          <w:szCs w:val="18"/>
        </w:rPr>
        <w:t>2023 forecast horizon.  Starting in 2013, PG&amp;E is scheduled to change the CPP event window</w:t>
      </w:r>
      <w:r w:rsidR="00F4554F" w:rsidRPr="00FB143E">
        <w:rPr>
          <w:szCs w:val="18"/>
        </w:rPr>
        <w:t xml:space="preserve">, </w:t>
      </w:r>
      <w:r w:rsidR="00474450" w:rsidRPr="00825D79">
        <w:rPr>
          <w:szCs w:val="18"/>
        </w:rPr>
        <w:t>the current period</w:t>
      </w:r>
      <w:r w:rsidR="00F4554F" w:rsidRPr="00825D79">
        <w:rPr>
          <w:szCs w:val="18"/>
        </w:rPr>
        <w:t xml:space="preserve"> from</w:t>
      </w:r>
      <w:r w:rsidR="00474450" w:rsidRPr="00825D79">
        <w:rPr>
          <w:szCs w:val="18"/>
        </w:rPr>
        <w:t xml:space="preserve"> </w:t>
      </w:r>
      <w:r w:rsidRPr="003C0E63">
        <w:rPr>
          <w:szCs w:val="18"/>
        </w:rPr>
        <w:t>2 to 6 PM</w:t>
      </w:r>
      <w:r w:rsidR="00474450" w:rsidRPr="005E7516">
        <w:rPr>
          <w:szCs w:val="18"/>
        </w:rPr>
        <w:t>,</w:t>
      </w:r>
      <w:r w:rsidRPr="005E7516">
        <w:rPr>
          <w:szCs w:val="18"/>
        </w:rPr>
        <w:t xml:space="preserve"> to </w:t>
      </w:r>
      <w:r w:rsidR="00F4554F" w:rsidRPr="00057782">
        <w:rPr>
          <w:szCs w:val="18"/>
        </w:rPr>
        <w:t xml:space="preserve">the period from </w:t>
      </w:r>
      <w:r w:rsidRPr="002B5AC6">
        <w:rPr>
          <w:szCs w:val="18"/>
        </w:rPr>
        <w:t xml:space="preserve">1 to 6 PM.  Starting in November 2014, PG&amp;E will default medium customers that have been on TOU for a minimum of two years onto CPP rates.  Those customers can elect to opt out to TOU rates if they do not wish to be on CPP rates. </w:t>
      </w:r>
    </w:p>
    <w:p w:rsidR="001E3B5B" w:rsidRPr="00340FC0" w:rsidRDefault="00966314" w:rsidP="00340FC0">
      <w:pPr>
        <w:spacing w:line="312" w:lineRule="auto"/>
        <w:rPr>
          <w:rFonts w:ascii="Verdana" w:hAnsi="Verdana"/>
          <w:sz w:val="18"/>
          <w:szCs w:val="18"/>
        </w:rPr>
      </w:pPr>
      <w:r w:rsidRPr="00340FC0">
        <w:rPr>
          <w:rFonts w:ascii="Verdana" w:hAnsi="Verdana"/>
          <w:sz w:val="18"/>
          <w:szCs w:val="18"/>
        </w:rPr>
        <w:t xml:space="preserve">In order to estimate load reductions for the hour from 1 to 2 PM, the percentage reduction in the hour from 2 to 3 pm was applied to the estimated reference load from 1 to 2 PM.  Because the reference load is typically higher from 1 to 2 PM, the absolute ex ante load impact in this hour is typically higher.  As a cross check on this assumption, the percent reduction for the 1 to 2 PM hour for SDG&amp;E, which has an event window from 11 AM to 6 PM, was compared with the average reduction from 2 to 6 PM, and was found to </w:t>
      </w:r>
      <w:r w:rsidR="006E2382">
        <w:rPr>
          <w:rFonts w:ascii="Verdana" w:hAnsi="Verdana"/>
          <w:sz w:val="18"/>
          <w:szCs w:val="18"/>
        </w:rPr>
        <w:t xml:space="preserve">be higher.  As such, assuming </w:t>
      </w:r>
      <w:r w:rsidRPr="00340FC0">
        <w:rPr>
          <w:rFonts w:ascii="Verdana" w:hAnsi="Verdana"/>
          <w:sz w:val="18"/>
          <w:szCs w:val="18"/>
        </w:rPr>
        <w:t xml:space="preserve">the same percent reduction from 1 to 2 PM and 2 to 3 PM is likely to be conservative.  </w:t>
      </w:r>
    </w:p>
    <w:p w:rsidR="00EF76C3" w:rsidRDefault="00F4554F" w:rsidP="007E27F3">
      <w:pPr>
        <w:pStyle w:val="Heading2"/>
      </w:pPr>
      <w:r w:rsidDel="00F4554F">
        <w:t xml:space="preserve"> </w:t>
      </w:r>
      <w:bookmarkStart w:id="149" w:name="_Toc289178029"/>
      <w:bookmarkStart w:id="150" w:name="_Toc326072129"/>
      <w:bookmarkStart w:id="151" w:name="_Toc350845365"/>
      <w:bookmarkStart w:id="152" w:name="_Toc289178037"/>
      <w:bookmarkStart w:id="153" w:name="_Toc352323653"/>
      <w:bookmarkEnd w:id="146"/>
      <w:r w:rsidR="00EF76C3" w:rsidRPr="007E27F3">
        <w:t>Large</w:t>
      </w:r>
      <w:r w:rsidR="00EF76C3">
        <w:t xml:space="preserve"> C&amp;I Ex Ante Impacts</w:t>
      </w:r>
      <w:bookmarkEnd w:id="149"/>
      <w:bookmarkEnd w:id="150"/>
      <w:bookmarkEnd w:id="151"/>
      <w:bookmarkEnd w:id="153"/>
    </w:p>
    <w:p w:rsidR="00EF76C3" w:rsidRDefault="00EF76C3" w:rsidP="00EF76C3">
      <w:pPr>
        <w:pStyle w:val="BodyParagraph"/>
      </w:pPr>
      <w:r>
        <w:t xml:space="preserve">In total, approximately </w:t>
      </w:r>
      <w:r w:rsidR="00966314" w:rsidRPr="00340FC0">
        <w:t>1,400</w:t>
      </w:r>
      <w:r>
        <w:t xml:space="preserve"> l</w:t>
      </w:r>
      <w:r w:rsidRPr="005F4F90">
        <w:t>arge customers</w:t>
      </w:r>
      <w:r>
        <w:t xml:space="preserve"> were enrolled in default CPP in 2012.</w:t>
      </w:r>
      <w:r w:rsidR="00B81D97">
        <w:rPr>
          <w:rStyle w:val="FootnoteReference"/>
        </w:rPr>
        <w:footnoteReference w:id="25"/>
      </w:r>
      <w:r>
        <w:t xml:space="preserve">  The majority of</w:t>
      </w:r>
      <w:r w:rsidR="00564E9A">
        <w:t> </w:t>
      </w:r>
      <w:r>
        <w:t xml:space="preserve">these customers (nearly 70%) have been enrolled in default CPP since 2010 and </w:t>
      </w:r>
      <w:r w:rsidR="00B8049C">
        <w:t xml:space="preserve">have </w:t>
      </w:r>
      <w:r>
        <w:t xml:space="preserve">experienced </w:t>
      </w:r>
      <w:r w:rsidR="00B8049C">
        <w:t>nine</w:t>
      </w:r>
      <w:r>
        <w:t xml:space="preserve"> events each year.  As a result, there is ample data on the magnitude of demand response </w:t>
      </w:r>
      <w:r w:rsidR="001E322F">
        <w:lastRenderedPageBreak/>
        <w:t xml:space="preserve">provided by </w:t>
      </w:r>
      <w:r>
        <w:t xml:space="preserve">these customers, </w:t>
      </w:r>
      <w:r w:rsidR="001E322F">
        <w:t>the</w:t>
      </w:r>
      <w:r w:rsidRPr="005F4F90">
        <w:t xml:space="preserve"> types of customers </w:t>
      </w:r>
      <w:r w:rsidR="001E322F">
        <w:t xml:space="preserve">that </w:t>
      </w:r>
      <w:r w:rsidRPr="005F4F90">
        <w:t>are more responsive</w:t>
      </w:r>
      <w:r>
        <w:t xml:space="preserve"> and the extent to which demand response varies with weather conditions</w:t>
      </w:r>
      <w:r w:rsidRPr="005F4F90">
        <w:t>.</w:t>
      </w:r>
    </w:p>
    <w:p w:rsidR="00EF76C3" w:rsidRDefault="00EF76C3" w:rsidP="00EF76C3">
      <w:pPr>
        <w:pStyle w:val="BodyParagraph"/>
      </w:pPr>
      <w:r>
        <w:t>Table 7-1 shows PG&amp;E’s enrollment projections for large customers through 2023.  The development of the enrollment forecast and underlying assumptions are documented in PG&amp;E’s "</w:t>
      </w:r>
      <w:r>
        <w:rPr>
          <w:i/>
        </w:rPr>
        <w:t>Executive Summary: 201</w:t>
      </w:r>
      <w:r w:rsidR="001E322F">
        <w:rPr>
          <w:i/>
        </w:rPr>
        <w:t>3</w:t>
      </w:r>
      <w:r w:rsidR="00502446">
        <w:rPr>
          <w:i/>
        </w:rPr>
        <w:t>–</w:t>
      </w:r>
      <w:r>
        <w:rPr>
          <w:i/>
        </w:rPr>
        <w:t>202</w:t>
      </w:r>
      <w:r w:rsidR="001E322F">
        <w:rPr>
          <w:i/>
        </w:rPr>
        <w:t>3</w:t>
      </w:r>
      <w:r w:rsidRPr="0041579B">
        <w:rPr>
          <w:i/>
        </w:rPr>
        <w:t xml:space="preserve"> Demand Response Portfolio of Pacific Gas and Electric Company</w:t>
      </w:r>
      <w:r w:rsidRPr="0041579B">
        <w:t>.</w:t>
      </w:r>
      <w:r>
        <w:t xml:space="preserve">"  </w:t>
      </w:r>
    </w:p>
    <w:p w:rsidR="00EF76C3" w:rsidRDefault="00EF76C3" w:rsidP="00EF76C3">
      <w:pPr>
        <w:pStyle w:val="TableFigureCaption"/>
      </w:pPr>
      <w:r w:rsidRPr="00692B07">
        <w:t>Table</w:t>
      </w:r>
      <w:r w:rsidRPr="00C63933">
        <w:t xml:space="preserve"> 7-1</w:t>
      </w:r>
      <w:r>
        <w:t>:</w:t>
      </w:r>
      <w:r w:rsidR="00626371">
        <w:t xml:space="preserve"> </w:t>
      </w:r>
      <w:r w:rsidRPr="00C63933">
        <w:t xml:space="preserve">PG&amp;E Enrollment Projections for Large CPP Customers </w:t>
      </w:r>
      <w:r>
        <w:br/>
      </w:r>
      <w:r w:rsidRPr="00C63933">
        <w:t xml:space="preserve">by Forecast Year </w:t>
      </w:r>
      <w:r>
        <w:t>and Month</w:t>
      </w:r>
    </w:p>
    <w:tbl>
      <w:tblPr>
        <w:tblW w:w="5000" w:type="pct"/>
        <w:jc w:val="center"/>
        <w:tblLook w:val="04A0" w:firstRow="1" w:lastRow="0" w:firstColumn="1" w:lastColumn="0" w:noHBand="0" w:noVBand="1"/>
      </w:tblPr>
      <w:tblGrid>
        <w:gridCol w:w="849"/>
        <w:gridCol w:w="727"/>
        <w:gridCol w:w="728"/>
        <w:gridCol w:w="728"/>
        <w:gridCol w:w="728"/>
        <w:gridCol w:w="728"/>
        <w:gridCol w:w="728"/>
        <w:gridCol w:w="728"/>
        <w:gridCol w:w="728"/>
        <w:gridCol w:w="728"/>
        <w:gridCol w:w="728"/>
        <w:gridCol w:w="728"/>
        <w:gridCol w:w="720"/>
      </w:tblGrid>
      <w:tr w:rsidR="00EF76C3" w:rsidRPr="00C82C6B" w:rsidTr="00EF76C3">
        <w:trPr>
          <w:trHeight w:val="402"/>
          <w:jc w:val="center"/>
        </w:trPr>
        <w:tc>
          <w:tcPr>
            <w:tcW w:w="444" w:type="pct"/>
            <w:tcBorders>
              <w:top w:val="single" w:sz="4" w:space="0" w:color="000000"/>
              <w:left w:val="single" w:sz="4" w:space="0" w:color="000000"/>
              <w:bottom w:val="single" w:sz="4" w:space="0" w:color="000000"/>
              <w:right w:val="single" w:sz="4" w:space="0" w:color="FFFFFF"/>
            </w:tcBorders>
            <w:shd w:val="clear" w:color="000000" w:fill="1F497D"/>
            <w:noWrap/>
            <w:vAlign w:val="center"/>
            <w:hideMark/>
          </w:tcPr>
          <w:p w:rsidR="00EF76C3" w:rsidRPr="00C82C6B" w:rsidRDefault="00EF76C3" w:rsidP="007E27F3">
            <w:pPr>
              <w:pStyle w:val="TableHeader"/>
            </w:pPr>
            <w:bookmarkStart w:id="155" w:name="_Toc289178030"/>
            <w:bookmarkStart w:id="156" w:name="_Toc326072130"/>
            <w:r w:rsidRPr="00C82C6B">
              <w:t>Year</w:t>
            </w:r>
          </w:p>
        </w:tc>
        <w:tc>
          <w:tcPr>
            <w:tcW w:w="380" w:type="pct"/>
            <w:tcBorders>
              <w:top w:val="single" w:sz="4" w:space="0" w:color="000000"/>
              <w:left w:val="nil"/>
              <w:bottom w:val="single" w:sz="4" w:space="0" w:color="000000"/>
              <w:right w:val="single" w:sz="4" w:space="0" w:color="FFFFFF"/>
            </w:tcBorders>
            <w:shd w:val="clear" w:color="000000" w:fill="1F497D"/>
            <w:noWrap/>
            <w:vAlign w:val="center"/>
            <w:hideMark/>
          </w:tcPr>
          <w:p w:rsidR="00EF76C3" w:rsidRPr="00C82C6B" w:rsidRDefault="00EF76C3" w:rsidP="007E27F3">
            <w:pPr>
              <w:pStyle w:val="TableHeader"/>
            </w:pPr>
            <w:r w:rsidRPr="00C82C6B">
              <w:t>Jan</w:t>
            </w:r>
          </w:p>
        </w:tc>
        <w:tc>
          <w:tcPr>
            <w:tcW w:w="380" w:type="pct"/>
            <w:tcBorders>
              <w:top w:val="single" w:sz="4" w:space="0" w:color="000000"/>
              <w:left w:val="nil"/>
              <w:bottom w:val="single" w:sz="4" w:space="0" w:color="000000"/>
              <w:right w:val="single" w:sz="4" w:space="0" w:color="FFFFFF"/>
            </w:tcBorders>
            <w:shd w:val="clear" w:color="000000" w:fill="1F497D"/>
            <w:noWrap/>
            <w:vAlign w:val="center"/>
            <w:hideMark/>
          </w:tcPr>
          <w:p w:rsidR="00EF76C3" w:rsidRPr="00C82C6B" w:rsidRDefault="00EF76C3" w:rsidP="007E27F3">
            <w:pPr>
              <w:pStyle w:val="TableHeader"/>
            </w:pPr>
            <w:r w:rsidRPr="00C82C6B">
              <w:t>Feb</w:t>
            </w:r>
          </w:p>
        </w:tc>
        <w:tc>
          <w:tcPr>
            <w:tcW w:w="380" w:type="pct"/>
            <w:tcBorders>
              <w:top w:val="single" w:sz="4" w:space="0" w:color="000000"/>
              <w:left w:val="nil"/>
              <w:bottom w:val="single" w:sz="4" w:space="0" w:color="000000"/>
              <w:right w:val="single" w:sz="4" w:space="0" w:color="FFFFFF"/>
            </w:tcBorders>
            <w:shd w:val="clear" w:color="000000" w:fill="1F497D"/>
            <w:noWrap/>
            <w:vAlign w:val="center"/>
            <w:hideMark/>
          </w:tcPr>
          <w:p w:rsidR="00EF76C3" w:rsidRPr="00C82C6B" w:rsidRDefault="00EF76C3" w:rsidP="007E27F3">
            <w:pPr>
              <w:pStyle w:val="TableHeader"/>
            </w:pPr>
            <w:r w:rsidRPr="00C82C6B">
              <w:t>Mar</w:t>
            </w:r>
          </w:p>
        </w:tc>
        <w:tc>
          <w:tcPr>
            <w:tcW w:w="380" w:type="pct"/>
            <w:tcBorders>
              <w:top w:val="single" w:sz="4" w:space="0" w:color="000000"/>
              <w:left w:val="nil"/>
              <w:bottom w:val="single" w:sz="4" w:space="0" w:color="000000"/>
              <w:right w:val="single" w:sz="4" w:space="0" w:color="FFFFFF"/>
            </w:tcBorders>
            <w:shd w:val="clear" w:color="000000" w:fill="1F497D"/>
            <w:noWrap/>
            <w:vAlign w:val="center"/>
            <w:hideMark/>
          </w:tcPr>
          <w:p w:rsidR="00EF76C3" w:rsidRPr="00C82C6B" w:rsidRDefault="00EF76C3" w:rsidP="007E27F3">
            <w:pPr>
              <w:pStyle w:val="TableHeader"/>
            </w:pPr>
            <w:r w:rsidRPr="00C82C6B">
              <w:t>Apr</w:t>
            </w:r>
          </w:p>
        </w:tc>
        <w:tc>
          <w:tcPr>
            <w:tcW w:w="380" w:type="pct"/>
            <w:tcBorders>
              <w:top w:val="single" w:sz="4" w:space="0" w:color="000000"/>
              <w:left w:val="nil"/>
              <w:bottom w:val="single" w:sz="4" w:space="0" w:color="000000"/>
              <w:right w:val="single" w:sz="4" w:space="0" w:color="FFFFFF"/>
            </w:tcBorders>
            <w:shd w:val="clear" w:color="000000" w:fill="1F497D"/>
            <w:noWrap/>
            <w:vAlign w:val="center"/>
            <w:hideMark/>
          </w:tcPr>
          <w:p w:rsidR="00EF76C3" w:rsidRPr="00C82C6B" w:rsidRDefault="00EF76C3" w:rsidP="007E27F3">
            <w:pPr>
              <w:pStyle w:val="TableHeader"/>
            </w:pPr>
            <w:r w:rsidRPr="00C82C6B">
              <w:t>May</w:t>
            </w:r>
          </w:p>
        </w:tc>
        <w:tc>
          <w:tcPr>
            <w:tcW w:w="380" w:type="pct"/>
            <w:tcBorders>
              <w:top w:val="single" w:sz="4" w:space="0" w:color="000000"/>
              <w:left w:val="nil"/>
              <w:bottom w:val="single" w:sz="4" w:space="0" w:color="000000"/>
              <w:right w:val="single" w:sz="4" w:space="0" w:color="FFFFFF"/>
            </w:tcBorders>
            <w:shd w:val="clear" w:color="000000" w:fill="1F497D"/>
            <w:noWrap/>
            <w:vAlign w:val="center"/>
            <w:hideMark/>
          </w:tcPr>
          <w:p w:rsidR="00EF76C3" w:rsidRPr="00C82C6B" w:rsidRDefault="00EF76C3" w:rsidP="007E27F3">
            <w:pPr>
              <w:pStyle w:val="TableHeader"/>
            </w:pPr>
            <w:r w:rsidRPr="00C82C6B">
              <w:t>Jun</w:t>
            </w:r>
          </w:p>
        </w:tc>
        <w:tc>
          <w:tcPr>
            <w:tcW w:w="380" w:type="pct"/>
            <w:tcBorders>
              <w:top w:val="single" w:sz="4" w:space="0" w:color="000000"/>
              <w:left w:val="nil"/>
              <w:bottom w:val="single" w:sz="4" w:space="0" w:color="000000"/>
              <w:right w:val="single" w:sz="4" w:space="0" w:color="FFFFFF"/>
            </w:tcBorders>
            <w:shd w:val="clear" w:color="000000" w:fill="1F497D"/>
            <w:noWrap/>
            <w:vAlign w:val="center"/>
            <w:hideMark/>
          </w:tcPr>
          <w:p w:rsidR="00EF76C3" w:rsidRPr="00C82C6B" w:rsidRDefault="00EF76C3" w:rsidP="007E27F3">
            <w:pPr>
              <w:pStyle w:val="TableHeader"/>
            </w:pPr>
            <w:r w:rsidRPr="00C82C6B">
              <w:t>Jul</w:t>
            </w:r>
          </w:p>
        </w:tc>
        <w:tc>
          <w:tcPr>
            <w:tcW w:w="380" w:type="pct"/>
            <w:tcBorders>
              <w:top w:val="single" w:sz="4" w:space="0" w:color="000000"/>
              <w:left w:val="nil"/>
              <w:bottom w:val="single" w:sz="4" w:space="0" w:color="000000"/>
              <w:right w:val="single" w:sz="4" w:space="0" w:color="FFFFFF"/>
            </w:tcBorders>
            <w:shd w:val="clear" w:color="000000" w:fill="1F497D"/>
            <w:noWrap/>
            <w:vAlign w:val="center"/>
            <w:hideMark/>
          </w:tcPr>
          <w:p w:rsidR="00EF76C3" w:rsidRPr="00C82C6B" w:rsidRDefault="00EF76C3" w:rsidP="007E27F3">
            <w:pPr>
              <w:pStyle w:val="TableHeader"/>
            </w:pPr>
            <w:r w:rsidRPr="00C82C6B">
              <w:t>Aug</w:t>
            </w:r>
          </w:p>
        </w:tc>
        <w:tc>
          <w:tcPr>
            <w:tcW w:w="380" w:type="pct"/>
            <w:tcBorders>
              <w:top w:val="single" w:sz="4" w:space="0" w:color="000000"/>
              <w:left w:val="nil"/>
              <w:bottom w:val="single" w:sz="4" w:space="0" w:color="000000"/>
              <w:right w:val="single" w:sz="4" w:space="0" w:color="FFFFFF"/>
            </w:tcBorders>
            <w:shd w:val="clear" w:color="000000" w:fill="1F497D"/>
            <w:noWrap/>
            <w:vAlign w:val="center"/>
            <w:hideMark/>
          </w:tcPr>
          <w:p w:rsidR="00EF76C3" w:rsidRPr="00C82C6B" w:rsidRDefault="00EF76C3" w:rsidP="007E27F3">
            <w:pPr>
              <w:pStyle w:val="TableHeader"/>
            </w:pPr>
            <w:r w:rsidRPr="00C82C6B">
              <w:t>Sep</w:t>
            </w:r>
          </w:p>
        </w:tc>
        <w:tc>
          <w:tcPr>
            <w:tcW w:w="380" w:type="pct"/>
            <w:tcBorders>
              <w:top w:val="single" w:sz="4" w:space="0" w:color="000000"/>
              <w:left w:val="nil"/>
              <w:bottom w:val="single" w:sz="4" w:space="0" w:color="000000"/>
              <w:right w:val="single" w:sz="4" w:space="0" w:color="FFFFFF"/>
            </w:tcBorders>
            <w:shd w:val="clear" w:color="000000" w:fill="1F497D"/>
            <w:noWrap/>
            <w:vAlign w:val="center"/>
            <w:hideMark/>
          </w:tcPr>
          <w:p w:rsidR="00EF76C3" w:rsidRPr="00C82C6B" w:rsidRDefault="00EF76C3" w:rsidP="007E27F3">
            <w:pPr>
              <w:pStyle w:val="TableHeader"/>
            </w:pPr>
            <w:r w:rsidRPr="00C82C6B">
              <w:t>Oct</w:t>
            </w:r>
          </w:p>
        </w:tc>
        <w:tc>
          <w:tcPr>
            <w:tcW w:w="380" w:type="pct"/>
            <w:tcBorders>
              <w:top w:val="single" w:sz="4" w:space="0" w:color="000000"/>
              <w:left w:val="nil"/>
              <w:bottom w:val="single" w:sz="4" w:space="0" w:color="000000"/>
              <w:right w:val="single" w:sz="4" w:space="0" w:color="FFFFFF"/>
            </w:tcBorders>
            <w:shd w:val="clear" w:color="000000" w:fill="1F497D"/>
            <w:noWrap/>
            <w:vAlign w:val="center"/>
            <w:hideMark/>
          </w:tcPr>
          <w:p w:rsidR="00EF76C3" w:rsidRPr="00C82C6B" w:rsidRDefault="00EF76C3" w:rsidP="007E27F3">
            <w:pPr>
              <w:pStyle w:val="TableHeader"/>
            </w:pPr>
            <w:r w:rsidRPr="00C82C6B">
              <w:t>Nov</w:t>
            </w:r>
          </w:p>
        </w:tc>
        <w:tc>
          <w:tcPr>
            <w:tcW w:w="380" w:type="pct"/>
            <w:tcBorders>
              <w:top w:val="single" w:sz="4" w:space="0" w:color="000000"/>
              <w:left w:val="nil"/>
              <w:bottom w:val="single" w:sz="4" w:space="0" w:color="000000"/>
              <w:right w:val="single" w:sz="4" w:space="0" w:color="000000"/>
            </w:tcBorders>
            <w:shd w:val="clear" w:color="000000" w:fill="1F497D"/>
            <w:noWrap/>
            <w:vAlign w:val="center"/>
            <w:hideMark/>
          </w:tcPr>
          <w:p w:rsidR="00EF76C3" w:rsidRPr="00C82C6B" w:rsidRDefault="00EF76C3" w:rsidP="007E27F3">
            <w:pPr>
              <w:pStyle w:val="TableHeader"/>
            </w:pPr>
            <w:r w:rsidRPr="00C82C6B">
              <w:t>Dec</w:t>
            </w:r>
          </w:p>
        </w:tc>
      </w:tr>
      <w:tr w:rsidR="00EF76C3" w:rsidRPr="00C82C6B" w:rsidTr="00EF76C3">
        <w:trPr>
          <w:trHeight w:val="402"/>
          <w:jc w:val="cent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2012</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1,401</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1,401</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1,401</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1,401</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1,401</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1,401</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1,401</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1,401</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1,401</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1,401</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1,401</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1,401</w:t>
            </w:r>
          </w:p>
        </w:tc>
      </w:tr>
      <w:tr w:rsidR="00EF76C3" w:rsidRPr="00C82C6B" w:rsidTr="00EF76C3">
        <w:trPr>
          <w:trHeight w:val="402"/>
          <w:jc w:val="cent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2013</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1,493</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1,493</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1,493</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1,493</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1,493</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1,493</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1,493</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1,493</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1,493</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1,493</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1,765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1,765</w:t>
            </w:r>
          </w:p>
        </w:tc>
      </w:tr>
      <w:tr w:rsidR="00EF76C3" w:rsidRPr="00C82C6B" w:rsidTr="00EF76C3">
        <w:trPr>
          <w:trHeight w:val="402"/>
          <w:jc w:val="cent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2014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1,765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1,765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1,807</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1,807</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1,807</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1,807</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1,807</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1,807</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1,807</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1,807</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1,819</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1,819</w:t>
            </w:r>
          </w:p>
        </w:tc>
      </w:tr>
      <w:tr w:rsidR="00EF76C3" w:rsidRPr="00C82C6B" w:rsidTr="00EF76C3">
        <w:trPr>
          <w:trHeight w:val="402"/>
          <w:jc w:val="cent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2015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1,819</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1,819</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r>
      <w:tr w:rsidR="00EF76C3" w:rsidRPr="00C82C6B" w:rsidTr="00EF76C3">
        <w:trPr>
          <w:trHeight w:val="402"/>
          <w:jc w:val="cent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2016</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1,826</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1,826</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r>
      <w:tr w:rsidR="00EF76C3" w:rsidRPr="00C82C6B" w:rsidTr="00EF76C3">
        <w:trPr>
          <w:trHeight w:val="402"/>
          <w:jc w:val="cent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2017</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r>
      <w:tr w:rsidR="00EF76C3" w:rsidRPr="00C82C6B" w:rsidTr="00EF76C3">
        <w:trPr>
          <w:trHeight w:val="402"/>
          <w:jc w:val="cent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2018</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r>
      <w:tr w:rsidR="00EF76C3" w:rsidRPr="00C82C6B" w:rsidTr="00EF76C3">
        <w:trPr>
          <w:trHeight w:val="402"/>
          <w:jc w:val="cent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2019</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r>
      <w:tr w:rsidR="00EF76C3" w:rsidRPr="00C82C6B" w:rsidTr="00EF76C3">
        <w:trPr>
          <w:trHeight w:val="402"/>
          <w:jc w:val="cent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2020</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r>
      <w:tr w:rsidR="00EF76C3" w:rsidRPr="00C82C6B" w:rsidTr="00EF76C3">
        <w:trPr>
          <w:trHeight w:val="402"/>
          <w:jc w:val="cent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2021</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r>
      <w:tr w:rsidR="00EF76C3" w:rsidRPr="00C82C6B" w:rsidTr="00EF76C3">
        <w:trPr>
          <w:trHeight w:val="402"/>
          <w:jc w:val="cent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2022</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r>
      <w:tr w:rsidR="00EF76C3" w:rsidRPr="00C82C6B" w:rsidTr="00EF76C3">
        <w:trPr>
          <w:trHeight w:val="402"/>
          <w:jc w:val="cent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2023</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1,825</w:t>
            </w:r>
          </w:p>
        </w:tc>
        <w:tc>
          <w:tcPr>
            <w:tcW w:w="380" w:type="pct"/>
            <w:tcBorders>
              <w:top w:val="nil"/>
              <w:left w:val="nil"/>
              <w:bottom w:val="single" w:sz="4" w:space="0" w:color="auto"/>
              <w:right w:val="single" w:sz="4" w:space="0" w:color="auto"/>
            </w:tcBorders>
            <w:shd w:val="clear" w:color="auto" w:fill="auto"/>
            <w:noWrap/>
            <w:vAlign w:val="center"/>
            <w:hideMark/>
          </w:tcPr>
          <w:p w:rsidR="00EF76C3" w:rsidRPr="00C82C6B" w:rsidRDefault="00EF76C3" w:rsidP="007E27F3">
            <w:pPr>
              <w:pStyle w:val="TableText"/>
            </w:pPr>
            <w:r w:rsidRPr="00C82C6B">
              <w:t>1,824</w:t>
            </w:r>
          </w:p>
        </w:tc>
      </w:tr>
    </w:tbl>
    <w:p w:rsidR="00EF76C3" w:rsidRDefault="00EF76C3" w:rsidP="007E27F3">
      <w:pPr>
        <w:pStyle w:val="Heading3"/>
        <w:spacing w:before="360"/>
        <w:ind w:left="1354" w:hanging="994"/>
        <w:rPr>
          <w:rFonts w:cs="Calibri"/>
        </w:rPr>
      </w:pPr>
      <w:bookmarkStart w:id="157" w:name="_Toc350845366"/>
      <w:bookmarkStart w:id="158" w:name="_Toc352323654"/>
      <w:r>
        <w:t xml:space="preserve">Annual </w:t>
      </w:r>
      <w:r w:rsidRPr="00692B07">
        <w:t>System</w:t>
      </w:r>
      <w:r>
        <w:t xml:space="preserve"> Peak Day Impacts</w:t>
      </w:r>
      <w:bookmarkEnd w:id="155"/>
      <w:bookmarkEnd w:id="156"/>
      <w:bookmarkEnd w:id="157"/>
      <w:bookmarkEnd w:id="158"/>
    </w:p>
    <w:p w:rsidR="00EF76C3" w:rsidRDefault="00EF76C3" w:rsidP="00EF76C3">
      <w:pPr>
        <w:pStyle w:val="BodyParagraph"/>
      </w:pPr>
      <w:r>
        <w:t xml:space="preserve">Table 7-2 summarizes the aggregate load impact estimates for large customers on PG&amp;E’s CPP tariff for each forecast year under both 1-in-2 and 1-in-10 weather year scenarios.  The table shows the average load reduction across the 1 PM to 6 PM event period for an August monthly system peak day.  As mentioned earlier, the results do not reflect adjustments for dual enrollment on other DR programs and assume </w:t>
      </w:r>
      <w:r w:rsidR="00B8049C">
        <w:t xml:space="preserve">that the </w:t>
      </w:r>
      <w:r>
        <w:t xml:space="preserve">1 to 2 PM demand reductions are equivalent to the 2 to 6 PM demand reductions on a percentage basis.  </w:t>
      </w:r>
      <w:r w:rsidRPr="008F0E66">
        <w:t xml:space="preserve">The </w:t>
      </w:r>
      <w:r>
        <w:t>portfolio adjusted</w:t>
      </w:r>
      <w:r w:rsidRPr="008F0E66">
        <w:t xml:space="preserve"> estimates are summarized in </w:t>
      </w:r>
      <w:r w:rsidR="00877990" w:rsidRPr="00877990">
        <w:t xml:space="preserve">Appendix </w:t>
      </w:r>
      <w:r w:rsidR="002B17F2">
        <w:t>C</w:t>
      </w:r>
      <w:r w:rsidRPr="00877990">
        <w:t>.</w:t>
      </w:r>
      <w:r>
        <w:t xml:space="preserve"> </w:t>
      </w:r>
    </w:p>
    <w:p w:rsidR="00EF76C3" w:rsidRDefault="00EF76C3" w:rsidP="00EF76C3">
      <w:pPr>
        <w:pStyle w:val="BodyParagraph"/>
      </w:pPr>
      <w:r>
        <w:t xml:space="preserve">Differences in demand reductions from year to year are a direct result of changes in enrollment and customer mix.  </w:t>
      </w:r>
      <w:r w:rsidR="00580401">
        <w:t xml:space="preserve">In addition to minimal population growth, </w:t>
      </w:r>
      <w:r>
        <w:t>PG&amp;E projects a substantial increase in enrollments in November 201</w:t>
      </w:r>
      <w:r w:rsidR="00580401">
        <w:t>3</w:t>
      </w:r>
      <w:r>
        <w:t xml:space="preserve"> </w:t>
      </w:r>
      <w:r w:rsidRPr="0091024A">
        <w:t>because</w:t>
      </w:r>
      <w:r>
        <w:t>,</w:t>
      </w:r>
      <w:r w:rsidRPr="0091024A">
        <w:t xml:space="preserve"> </w:t>
      </w:r>
      <w:r>
        <w:t>at that time, it</w:t>
      </w:r>
      <w:r w:rsidRPr="0091024A">
        <w:t xml:space="preserve"> will default additional large customers</w:t>
      </w:r>
      <w:r>
        <w:t xml:space="preserve"> who had </w:t>
      </w:r>
      <w:r w:rsidRPr="0091024A">
        <w:t>interval</w:t>
      </w:r>
      <w:r>
        <w:t xml:space="preserve"> meters recently installed.</w:t>
      </w:r>
      <w:r>
        <w:rPr>
          <w:rStyle w:val="FootnoteReference"/>
        </w:rPr>
        <w:footnoteReference w:id="26"/>
      </w:r>
      <w:r>
        <w:t xml:space="preserve">  Most of these customers are in outlying areas of PG&amp;E</w:t>
      </w:r>
      <w:r w:rsidR="00580401">
        <w:t>’s service</w:t>
      </w:r>
      <w:r>
        <w:t xml:space="preserve"> territory and are disproportiona</w:t>
      </w:r>
      <w:r w:rsidR="00580401">
        <w:t>te</w:t>
      </w:r>
      <w:r>
        <w:t>ly agricultural customers that are more price responsive.</w:t>
      </w:r>
    </w:p>
    <w:p w:rsidR="00EF76C3" w:rsidRDefault="00EF76C3" w:rsidP="00EF76C3">
      <w:pPr>
        <w:pStyle w:val="TableFigureCaption"/>
      </w:pPr>
      <w:r>
        <w:lastRenderedPageBreak/>
        <w:t>Table 7-2:</w:t>
      </w:r>
      <w:r w:rsidR="00626371">
        <w:t xml:space="preserve"> </w:t>
      </w:r>
      <w:r>
        <w:t xml:space="preserve">PG&amp;E August Peak Day CPP Program Load Impacts for Large Customers </w:t>
      </w:r>
      <w:r>
        <w:br/>
        <w:t>(Hourly Average Reduction in MW Over Event Day Period 1</w:t>
      </w:r>
      <w:r w:rsidR="00502446">
        <w:t>–</w:t>
      </w:r>
      <w:r>
        <w:t>6 PM)</w:t>
      </w:r>
    </w:p>
    <w:tbl>
      <w:tblPr>
        <w:tblW w:w="0" w:type="auto"/>
        <w:tblLayout w:type="fixed"/>
        <w:tblLook w:val="04A0" w:firstRow="1" w:lastRow="0" w:firstColumn="1" w:lastColumn="0" w:noHBand="0" w:noVBand="1"/>
      </w:tblPr>
      <w:tblGrid>
        <w:gridCol w:w="1114"/>
        <w:gridCol w:w="1048"/>
        <w:gridCol w:w="1419"/>
        <w:gridCol w:w="1247"/>
        <w:gridCol w:w="1239"/>
        <w:gridCol w:w="1048"/>
        <w:gridCol w:w="1251"/>
        <w:gridCol w:w="1210"/>
      </w:tblGrid>
      <w:tr w:rsidR="00B81D97" w:rsidRPr="00B81D97" w:rsidTr="007E27F3">
        <w:trPr>
          <w:trHeight w:val="674"/>
        </w:trPr>
        <w:tc>
          <w:tcPr>
            <w:tcW w:w="1114" w:type="dxa"/>
            <w:vMerge w:val="restart"/>
            <w:tcBorders>
              <w:top w:val="single" w:sz="4" w:space="0" w:color="auto"/>
              <w:left w:val="single" w:sz="4" w:space="0" w:color="auto"/>
              <w:bottom w:val="single" w:sz="4" w:space="0" w:color="FFFFFF"/>
              <w:right w:val="single" w:sz="4" w:space="0" w:color="FFFFFF"/>
            </w:tcBorders>
            <w:shd w:val="clear" w:color="000000" w:fill="1F497D"/>
            <w:vAlign w:val="center"/>
            <w:hideMark/>
          </w:tcPr>
          <w:p w:rsidR="00B81D97" w:rsidRPr="00B81D97" w:rsidRDefault="00B81D97" w:rsidP="00B81D97">
            <w:pPr>
              <w:spacing w:after="0" w:line="240" w:lineRule="auto"/>
              <w:jc w:val="center"/>
              <w:rPr>
                <w:rFonts w:ascii="Arial" w:eastAsia="Times New Roman" w:hAnsi="Arial" w:cs="Arial"/>
                <w:b/>
                <w:color w:val="FFFFFF"/>
                <w:sz w:val="18"/>
                <w:szCs w:val="18"/>
              </w:rPr>
            </w:pPr>
            <w:r w:rsidRPr="00B81D97">
              <w:rPr>
                <w:rFonts w:ascii="Arial" w:eastAsia="Times New Roman" w:hAnsi="Arial" w:cs="Arial"/>
                <w:b/>
                <w:color w:val="FFFFFF"/>
                <w:sz w:val="18"/>
                <w:szCs w:val="18"/>
              </w:rPr>
              <w:t>Weather Year</w:t>
            </w:r>
          </w:p>
        </w:tc>
        <w:tc>
          <w:tcPr>
            <w:tcW w:w="1048" w:type="dxa"/>
            <w:vMerge w:val="restart"/>
            <w:tcBorders>
              <w:top w:val="single" w:sz="4" w:space="0" w:color="auto"/>
              <w:left w:val="single" w:sz="4" w:space="0" w:color="FFFFFF"/>
              <w:bottom w:val="single" w:sz="4" w:space="0" w:color="FFFFFF"/>
              <w:right w:val="single" w:sz="4" w:space="0" w:color="FFFFFF"/>
            </w:tcBorders>
            <w:shd w:val="clear" w:color="000000" w:fill="1F497D"/>
            <w:vAlign w:val="center"/>
            <w:hideMark/>
          </w:tcPr>
          <w:p w:rsidR="00B81D97" w:rsidRPr="00B81D97" w:rsidRDefault="00B81D97" w:rsidP="00B81D97">
            <w:pPr>
              <w:spacing w:after="0" w:line="240" w:lineRule="auto"/>
              <w:jc w:val="center"/>
              <w:rPr>
                <w:rFonts w:ascii="Arial" w:eastAsia="Times New Roman" w:hAnsi="Arial" w:cs="Arial"/>
                <w:b/>
                <w:color w:val="FFFFFF"/>
                <w:sz w:val="18"/>
                <w:szCs w:val="18"/>
              </w:rPr>
            </w:pPr>
            <w:r w:rsidRPr="00B81D97">
              <w:rPr>
                <w:rFonts w:ascii="Arial" w:eastAsia="Times New Roman" w:hAnsi="Arial" w:cs="Arial"/>
                <w:b/>
                <w:color w:val="FFFFFF"/>
                <w:sz w:val="18"/>
                <w:szCs w:val="18"/>
              </w:rPr>
              <w:t>Year</w:t>
            </w:r>
          </w:p>
        </w:tc>
        <w:tc>
          <w:tcPr>
            <w:tcW w:w="1419" w:type="dxa"/>
            <w:vMerge w:val="restart"/>
            <w:tcBorders>
              <w:top w:val="single" w:sz="4" w:space="0" w:color="auto"/>
              <w:left w:val="single" w:sz="4" w:space="0" w:color="FFFFFF"/>
              <w:bottom w:val="single" w:sz="4" w:space="0" w:color="FFFFFF"/>
              <w:right w:val="single" w:sz="4" w:space="0" w:color="FFFFFF"/>
            </w:tcBorders>
            <w:shd w:val="clear" w:color="000000" w:fill="1F497D"/>
            <w:vAlign w:val="center"/>
            <w:hideMark/>
          </w:tcPr>
          <w:p w:rsidR="00B81D97" w:rsidRPr="00B81D97" w:rsidRDefault="00B81D97" w:rsidP="00B81D97">
            <w:pPr>
              <w:spacing w:after="0" w:line="240" w:lineRule="auto"/>
              <w:jc w:val="center"/>
              <w:rPr>
                <w:rFonts w:ascii="Arial" w:eastAsia="Times New Roman" w:hAnsi="Arial" w:cs="Arial"/>
                <w:b/>
                <w:color w:val="FFFFFF"/>
                <w:sz w:val="18"/>
                <w:szCs w:val="18"/>
              </w:rPr>
            </w:pPr>
            <w:r w:rsidRPr="00B81D97">
              <w:rPr>
                <w:rFonts w:ascii="Arial" w:eastAsia="Times New Roman" w:hAnsi="Arial" w:cs="Arial"/>
                <w:b/>
                <w:color w:val="FFFFFF"/>
                <w:sz w:val="18"/>
                <w:szCs w:val="18"/>
              </w:rPr>
              <w:t>Enrolled Accts (Forecast)</w:t>
            </w:r>
          </w:p>
        </w:tc>
        <w:tc>
          <w:tcPr>
            <w:tcW w:w="1247" w:type="dxa"/>
            <w:tcBorders>
              <w:top w:val="single" w:sz="4" w:space="0" w:color="auto"/>
              <w:left w:val="single" w:sz="4" w:space="0" w:color="FFFFFF"/>
              <w:bottom w:val="nil"/>
              <w:right w:val="single" w:sz="4" w:space="0" w:color="FFFFFF"/>
            </w:tcBorders>
            <w:shd w:val="clear" w:color="000000" w:fill="1F497D"/>
            <w:vAlign w:val="center"/>
            <w:hideMark/>
          </w:tcPr>
          <w:p w:rsidR="00B81D97" w:rsidRPr="00B81D97" w:rsidRDefault="00B81D97" w:rsidP="00B81D97">
            <w:pPr>
              <w:spacing w:after="0" w:line="240" w:lineRule="auto"/>
              <w:jc w:val="center"/>
              <w:rPr>
                <w:rFonts w:ascii="Arial" w:eastAsia="Times New Roman" w:hAnsi="Arial" w:cs="Arial"/>
                <w:b/>
                <w:color w:val="FFFFFF"/>
                <w:sz w:val="18"/>
                <w:szCs w:val="18"/>
              </w:rPr>
            </w:pPr>
            <w:r w:rsidRPr="00B81D97">
              <w:rPr>
                <w:rFonts w:ascii="Arial" w:eastAsia="Times New Roman" w:hAnsi="Arial" w:cs="Arial"/>
                <w:b/>
                <w:color w:val="FFFFFF"/>
                <w:sz w:val="18"/>
                <w:szCs w:val="18"/>
              </w:rPr>
              <w:t>Avg. Reference Load</w:t>
            </w:r>
          </w:p>
        </w:tc>
        <w:tc>
          <w:tcPr>
            <w:tcW w:w="1239" w:type="dxa"/>
            <w:tcBorders>
              <w:top w:val="single" w:sz="4" w:space="0" w:color="auto"/>
              <w:left w:val="nil"/>
              <w:bottom w:val="nil"/>
              <w:right w:val="single" w:sz="4" w:space="0" w:color="FFFFFF"/>
            </w:tcBorders>
            <w:shd w:val="clear" w:color="000000" w:fill="1F497D"/>
            <w:vAlign w:val="center"/>
            <w:hideMark/>
          </w:tcPr>
          <w:p w:rsidR="00B81D97" w:rsidRPr="00B81D97" w:rsidRDefault="00B81D97" w:rsidP="00B81D97">
            <w:pPr>
              <w:spacing w:after="0" w:line="240" w:lineRule="auto"/>
              <w:jc w:val="center"/>
              <w:rPr>
                <w:rFonts w:ascii="Arial" w:eastAsia="Times New Roman" w:hAnsi="Arial" w:cs="Arial"/>
                <w:b/>
                <w:color w:val="FFFFFF"/>
                <w:sz w:val="18"/>
                <w:szCs w:val="18"/>
              </w:rPr>
            </w:pPr>
            <w:r w:rsidRPr="00B81D97">
              <w:rPr>
                <w:rFonts w:ascii="Arial" w:eastAsia="Times New Roman" w:hAnsi="Arial" w:cs="Arial"/>
                <w:b/>
                <w:color w:val="FFFFFF"/>
                <w:sz w:val="18"/>
                <w:szCs w:val="18"/>
              </w:rPr>
              <w:t>Avg. Estimated Load w DR</w:t>
            </w:r>
          </w:p>
        </w:tc>
        <w:tc>
          <w:tcPr>
            <w:tcW w:w="1048" w:type="dxa"/>
            <w:tcBorders>
              <w:top w:val="single" w:sz="4" w:space="0" w:color="auto"/>
              <w:left w:val="nil"/>
              <w:bottom w:val="nil"/>
              <w:right w:val="single" w:sz="4" w:space="0" w:color="FFFFFF"/>
            </w:tcBorders>
            <w:shd w:val="clear" w:color="000000" w:fill="1F497D"/>
            <w:vAlign w:val="center"/>
            <w:hideMark/>
          </w:tcPr>
          <w:p w:rsidR="00B81D97" w:rsidRPr="00B81D97" w:rsidRDefault="00B81D97" w:rsidP="00B81D97">
            <w:pPr>
              <w:spacing w:after="0" w:line="240" w:lineRule="auto"/>
              <w:jc w:val="center"/>
              <w:rPr>
                <w:rFonts w:ascii="Arial" w:eastAsia="Times New Roman" w:hAnsi="Arial" w:cs="Arial"/>
                <w:b/>
                <w:color w:val="FFFFFF"/>
                <w:sz w:val="18"/>
                <w:szCs w:val="18"/>
              </w:rPr>
            </w:pPr>
            <w:r w:rsidRPr="00B81D97">
              <w:rPr>
                <w:rFonts w:ascii="Arial" w:eastAsia="Times New Roman" w:hAnsi="Arial" w:cs="Arial"/>
                <w:b/>
                <w:color w:val="FFFFFF"/>
                <w:sz w:val="18"/>
                <w:szCs w:val="18"/>
              </w:rPr>
              <w:t>Avg. Load impact</w:t>
            </w:r>
          </w:p>
        </w:tc>
        <w:tc>
          <w:tcPr>
            <w:tcW w:w="1251" w:type="dxa"/>
            <w:tcBorders>
              <w:top w:val="single" w:sz="4" w:space="0" w:color="auto"/>
              <w:left w:val="nil"/>
              <w:bottom w:val="nil"/>
              <w:right w:val="single" w:sz="4" w:space="0" w:color="FFFFFF"/>
            </w:tcBorders>
            <w:shd w:val="clear" w:color="000000" w:fill="1F497D"/>
            <w:vAlign w:val="center"/>
            <w:hideMark/>
          </w:tcPr>
          <w:p w:rsidR="00B81D97" w:rsidRPr="00B81D97" w:rsidRDefault="00B81D97" w:rsidP="00B81D97">
            <w:pPr>
              <w:spacing w:after="0" w:line="240" w:lineRule="auto"/>
              <w:jc w:val="center"/>
              <w:rPr>
                <w:rFonts w:ascii="Arial" w:eastAsia="Times New Roman" w:hAnsi="Arial" w:cs="Arial"/>
                <w:b/>
                <w:color w:val="FFFFFF"/>
                <w:sz w:val="18"/>
                <w:szCs w:val="18"/>
              </w:rPr>
            </w:pPr>
            <w:r w:rsidRPr="00B81D97">
              <w:rPr>
                <w:rFonts w:ascii="Arial" w:eastAsia="Times New Roman" w:hAnsi="Arial" w:cs="Arial"/>
                <w:b/>
                <w:color w:val="FFFFFF"/>
                <w:sz w:val="18"/>
                <w:szCs w:val="18"/>
              </w:rPr>
              <w:t>% Load Reduction</w:t>
            </w:r>
          </w:p>
        </w:tc>
        <w:tc>
          <w:tcPr>
            <w:tcW w:w="1210" w:type="dxa"/>
            <w:tcBorders>
              <w:top w:val="single" w:sz="4" w:space="0" w:color="auto"/>
              <w:left w:val="nil"/>
              <w:bottom w:val="single" w:sz="4" w:space="0" w:color="FFFFFF"/>
              <w:right w:val="single" w:sz="4" w:space="0" w:color="auto"/>
            </w:tcBorders>
            <w:shd w:val="clear" w:color="000000" w:fill="1F497D"/>
            <w:vAlign w:val="center"/>
            <w:hideMark/>
          </w:tcPr>
          <w:p w:rsidR="00B81D97" w:rsidRPr="00B81D97" w:rsidRDefault="00B81D97" w:rsidP="00B81D97">
            <w:pPr>
              <w:spacing w:after="0" w:line="240" w:lineRule="auto"/>
              <w:jc w:val="center"/>
              <w:rPr>
                <w:rFonts w:ascii="Arial" w:eastAsia="Times New Roman" w:hAnsi="Arial" w:cs="Arial"/>
                <w:b/>
                <w:color w:val="FFFFFF"/>
                <w:sz w:val="18"/>
                <w:szCs w:val="18"/>
              </w:rPr>
            </w:pPr>
            <w:r w:rsidRPr="00B81D97">
              <w:rPr>
                <w:rFonts w:ascii="Arial" w:eastAsia="Times New Roman" w:hAnsi="Arial" w:cs="Arial"/>
                <w:b/>
                <w:color w:val="FFFFFF"/>
                <w:sz w:val="18"/>
                <w:szCs w:val="18"/>
              </w:rPr>
              <w:t>Weighted Temp</w:t>
            </w:r>
          </w:p>
        </w:tc>
      </w:tr>
      <w:tr w:rsidR="00B81D97" w:rsidRPr="00B81D97" w:rsidTr="00B81D97">
        <w:trPr>
          <w:trHeight w:val="450"/>
        </w:trPr>
        <w:tc>
          <w:tcPr>
            <w:tcW w:w="1114" w:type="dxa"/>
            <w:vMerge/>
            <w:tcBorders>
              <w:top w:val="single" w:sz="4" w:space="0" w:color="auto"/>
              <w:left w:val="single" w:sz="4" w:space="0" w:color="auto"/>
              <w:bottom w:val="single" w:sz="4" w:space="0" w:color="FFFFFF"/>
              <w:right w:val="single" w:sz="4" w:space="0" w:color="FFFFFF"/>
            </w:tcBorders>
            <w:vAlign w:val="center"/>
            <w:hideMark/>
          </w:tcPr>
          <w:p w:rsidR="00B81D97" w:rsidRPr="00B81D97" w:rsidRDefault="00B81D97" w:rsidP="00B81D97">
            <w:pPr>
              <w:spacing w:after="0" w:line="240" w:lineRule="auto"/>
              <w:rPr>
                <w:rFonts w:ascii="Arial" w:eastAsia="Times New Roman" w:hAnsi="Arial" w:cs="Arial"/>
                <w:b/>
                <w:color w:val="FFFFFF"/>
                <w:sz w:val="18"/>
                <w:szCs w:val="18"/>
              </w:rPr>
            </w:pPr>
          </w:p>
        </w:tc>
        <w:tc>
          <w:tcPr>
            <w:tcW w:w="1048" w:type="dxa"/>
            <w:vMerge/>
            <w:tcBorders>
              <w:top w:val="single" w:sz="4" w:space="0" w:color="auto"/>
              <w:left w:val="single" w:sz="4" w:space="0" w:color="FFFFFF"/>
              <w:bottom w:val="single" w:sz="4" w:space="0" w:color="FFFFFF"/>
              <w:right w:val="single" w:sz="4" w:space="0" w:color="FFFFFF"/>
            </w:tcBorders>
            <w:vAlign w:val="center"/>
            <w:hideMark/>
          </w:tcPr>
          <w:p w:rsidR="00B81D97" w:rsidRPr="00B81D97" w:rsidRDefault="00B81D97" w:rsidP="00B81D97">
            <w:pPr>
              <w:spacing w:after="0" w:line="240" w:lineRule="auto"/>
              <w:rPr>
                <w:rFonts w:ascii="Arial" w:eastAsia="Times New Roman" w:hAnsi="Arial" w:cs="Arial"/>
                <w:b/>
                <w:color w:val="FFFFFF"/>
                <w:sz w:val="18"/>
                <w:szCs w:val="18"/>
              </w:rPr>
            </w:pPr>
          </w:p>
        </w:tc>
        <w:tc>
          <w:tcPr>
            <w:tcW w:w="1419" w:type="dxa"/>
            <w:vMerge/>
            <w:tcBorders>
              <w:top w:val="single" w:sz="4" w:space="0" w:color="auto"/>
              <w:left w:val="single" w:sz="4" w:space="0" w:color="FFFFFF"/>
              <w:bottom w:val="single" w:sz="4" w:space="0" w:color="FFFFFF"/>
              <w:right w:val="single" w:sz="4" w:space="0" w:color="FFFFFF"/>
            </w:tcBorders>
            <w:vAlign w:val="center"/>
            <w:hideMark/>
          </w:tcPr>
          <w:p w:rsidR="00B81D97" w:rsidRPr="00B81D97" w:rsidRDefault="00B81D97" w:rsidP="00B81D97">
            <w:pPr>
              <w:spacing w:after="0" w:line="240" w:lineRule="auto"/>
              <w:rPr>
                <w:rFonts w:ascii="Arial" w:eastAsia="Times New Roman" w:hAnsi="Arial" w:cs="Arial"/>
                <w:b/>
                <w:color w:val="FFFFFF"/>
                <w:sz w:val="18"/>
                <w:szCs w:val="18"/>
              </w:rPr>
            </w:pPr>
          </w:p>
        </w:tc>
        <w:tc>
          <w:tcPr>
            <w:tcW w:w="1247" w:type="dxa"/>
            <w:tcBorders>
              <w:top w:val="single" w:sz="4" w:space="0" w:color="FFFFFF"/>
              <w:left w:val="single" w:sz="4" w:space="0" w:color="FFFFFF"/>
              <w:bottom w:val="single" w:sz="4" w:space="0" w:color="auto"/>
              <w:right w:val="single" w:sz="4" w:space="0" w:color="FFFFFF"/>
            </w:tcBorders>
            <w:shd w:val="clear" w:color="000000" w:fill="1F497D"/>
            <w:vAlign w:val="center"/>
            <w:hideMark/>
          </w:tcPr>
          <w:p w:rsidR="00B81D97" w:rsidRPr="00B81D97" w:rsidRDefault="00B81D97" w:rsidP="007E27F3">
            <w:pPr>
              <w:spacing w:after="0" w:line="240" w:lineRule="auto"/>
              <w:jc w:val="center"/>
              <w:rPr>
                <w:rFonts w:ascii="Arial" w:eastAsia="Times New Roman" w:hAnsi="Arial" w:cs="Arial"/>
                <w:b/>
                <w:bCs/>
                <w:color w:val="FFFFFF"/>
                <w:sz w:val="18"/>
                <w:szCs w:val="18"/>
              </w:rPr>
            </w:pPr>
            <w:r w:rsidRPr="00B81D97">
              <w:rPr>
                <w:rFonts w:ascii="Arial" w:eastAsia="Times New Roman" w:hAnsi="Arial" w:cs="Arial"/>
                <w:b/>
                <w:bCs/>
                <w:color w:val="FFFFFF"/>
                <w:sz w:val="18"/>
                <w:szCs w:val="18"/>
              </w:rPr>
              <w:t>MW</w:t>
            </w:r>
            <w:r w:rsidR="007E27F3">
              <w:rPr>
                <w:rFonts w:ascii="Arial" w:eastAsia="Times New Roman" w:hAnsi="Arial" w:cs="Arial"/>
                <w:b/>
                <w:bCs/>
                <w:color w:val="FFFFFF"/>
                <w:sz w:val="18"/>
                <w:szCs w:val="18"/>
              </w:rPr>
              <w:br/>
            </w:r>
            <w:r w:rsidRPr="00B81D97">
              <w:rPr>
                <w:rFonts w:ascii="Arial" w:eastAsia="Times New Roman" w:hAnsi="Arial" w:cs="Arial"/>
                <w:b/>
                <w:bCs/>
                <w:color w:val="FFFFFF"/>
                <w:sz w:val="18"/>
                <w:szCs w:val="18"/>
              </w:rPr>
              <w:t>1</w:t>
            </w:r>
            <w:r w:rsidR="00502446">
              <w:rPr>
                <w:rFonts w:ascii="Arial" w:eastAsia="Times New Roman" w:hAnsi="Arial" w:cs="Arial"/>
                <w:b/>
                <w:bCs/>
                <w:color w:val="FFFFFF"/>
                <w:sz w:val="18"/>
                <w:szCs w:val="18"/>
              </w:rPr>
              <w:t>–</w:t>
            </w:r>
            <w:r w:rsidRPr="00B81D97">
              <w:rPr>
                <w:rFonts w:ascii="Arial" w:eastAsia="Times New Roman" w:hAnsi="Arial" w:cs="Arial"/>
                <w:b/>
                <w:bCs/>
                <w:color w:val="FFFFFF"/>
                <w:sz w:val="18"/>
                <w:szCs w:val="18"/>
              </w:rPr>
              <w:t xml:space="preserve">6 </w:t>
            </w:r>
            <w:r w:rsidR="007E27F3">
              <w:rPr>
                <w:rFonts w:ascii="Arial" w:eastAsia="Times New Roman" w:hAnsi="Arial" w:cs="Arial"/>
                <w:b/>
                <w:bCs/>
                <w:color w:val="FFFFFF"/>
                <w:sz w:val="18"/>
                <w:szCs w:val="18"/>
              </w:rPr>
              <w:t>PM</w:t>
            </w:r>
          </w:p>
        </w:tc>
        <w:tc>
          <w:tcPr>
            <w:tcW w:w="1239" w:type="dxa"/>
            <w:tcBorders>
              <w:top w:val="single" w:sz="4" w:space="0" w:color="FFFFFF"/>
              <w:left w:val="nil"/>
              <w:bottom w:val="single" w:sz="4" w:space="0" w:color="auto"/>
              <w:right w:val="single" w:sz="4" w:space="0" w:color="FFFFFF"/>
            </w:tcBorders>
            <w:shd w:val="clear" w:color="000000" w:fill="1F497D"/>
            <w:vAlign w:val="center"/>
            <w:hideMark/>
          </w:tcPr>
          <w:p w:rsidR="00B81D97" w:rsidRPr="00B81D97" w:rsidRDefault="007E27F3" w:rsidP="00B81D97">
            <w:pPr>
              <w:spacing w:after="0" w:line="240" w:lineRule="auto"/>
              <w:jc w:val="center"/>
              <w:rPr>
                <w:rFonts w:ascii="Arial" w:eastAsia="Times New Roman" w:hAnsi="Arial" w:cs="Arial"/>
                <w:b/>
                <w:bCs/>
                <w:color w:val="FFFFFF"/>
                <w:sz w:val="18"/>
                <w:szCs w:val="18"/>
              </w:rPr>
            </w:pPr>
            <w:r w:rsidRPr="00B81D97">
              <w:rPr>
                <w:rFonts w:ascii="Arial" w:eastAsia="Times New Roman" w:hAnsi="Arial" w:cs="Arial"/>
                <w:b/>
                <w:bCs/>
                <w:color w:val="FFFFFF"/>
                <w:sz w:val="18"/>
                <w:szCs w:val="18"/>
              </w:rPr>
              <w:t>MW</w:t>
            </w:r>
            <w:r>
              <w:rPr>
                <w:rFonts w:ascii="Arial" w:eastAsia="Times New Roman" w:hAnsi="Arial" w:cs="Arial"/>
                <w:b/>
                <w:bCs/>
                <w:color w:val="FFFFFF"/>
                <w:sz w:val="18"/>
                <w:szCs w:val="18"/>
              </w:rPr>
              <w:br/>
            </w:r>
            <w:r w:rsidRPr="00B81D97">
              <w:rPr>
                <w:rFonts w:ascii="Arial" w:eastAsia="Times New Roman" w:hAnsi="Arial" w:cs="Arial"/>
                <w:b/>
                <w:bCs/>
                <w:color w:val="FFFFFF"/>
                <w:sz w:val="18"/>
                <w:szCs w:val="18"/>
              </w:rPr>
              <w:t>1</w:t>
            </w:r>
            <w:r w:rsidR="00502446">
              <w:rPr>
                <w:rFonts w:ascii="Arial" w:eastAsia="Times New Roman" w:hAnsi="Arial" w:cs="Arial"/>
                <w:b/>
                <w:bCs/>
                <w:color w:val="FFFFFF"/>
                <w:sz w:val="18"/>
                <w:szCs w:val="18"/>
              </w:rPr>
              <w:t>–</w:t>
            </w:r>
            <w:r w:rsidRPr="00B81D97">
              <w:rPr>
                <w:rFonts w:ascii="Arial" w:eastAsia="Times New Roman" w:hAnsi="Arial" w:cs="Arial"/>
                <w:b/>
                <w:bCs/>
                <w:color w:val="FFFFFF"/>
                <w:sz w:val="18"/>
                <w:szCs w:val="18"/>
              </w:rPr>
              <w:t xml:space="preserve">6 </w:t>
            </w:r>
            <w:r>
              <w:rPr>
                <w:rFonts w:ascii="Arial" w:eastAsia="Times New Roman" w:hAnsi="Arial" w:cs="Arial"/>
                <w:b/>
                <w:bCs/>
                <w:color w:val="FFFFFF"/>
                <w:sz w:val="18"/>
                <w:szCs w:val="18"/>
              </w:rPr>
              <w:t>PM</w:t>
            </w:r>
          </w:p>
        </w:tc>
        <w:tc>
          <w:tcPr>
            <w:tcW w:w="1048" w:type="dxa"/>
            <w:tcBorders>
              <w:top w:val="single" w:sz="4" w:space="0" w:color="FFFFFF"/>
              <w:left w:val="nil"/>
              <w:bottom w:val="single" w:sz="4" w:space="0" w:color="auto"/>
              <w:right w:val="nil"/>
            </w:tcBorders>
            <w:shd w:val="clear" w:color="000000" w:fill="1F497D"/>
            <w:vAlign w:val="center"/>
            <w:hideMark/>
          </w:tcPr>
          <w:p w:rsidR="00B81D97" w:rsidRPr="00B81D97" w:rsidRDefault="007E27F3" w:rsidP="00B81D97">
            <w:pPr>
              <w:spacing w:after="0" w:line="240" w:lineRule="auto"/>
              <w:jc w:val="center"/>
              <w:rPr>
                <w:rFonts w:ascii="Arial" w:eastAsia="Times New Roman" w:hAnsi="Arial" w:cs="Arial"/>
                <w:b/>
                <w:bCs/>
                <w:color w:val="FFFFFF"/>
                <w:sz w:val="18"/>
                <w:szCs w:val="18"/>
              </w:rPr>
            </w:pPr>
            <w:r w:rsidRPr="00B81D97">
              <w:rPr>
                <w:rFonts w:ascii="Arial" w:eastAsia="Times New Roman" w:hAnsi="Arial" w:cs="Arial"/>
                <w:b/>
                <w:bCs/>
                <w:color w:val="FFFFFF"/>
                <w:sz w:val="18"/>
                <w:szCs w:val="18"/>
              </w:rPr>
              <w:t>MW</w:t>
            </w:r>
            <w:r>
              <w:rPr>
                <w:rFonts w:ascii="Arial" w:eastAsia="Times New Roman" w:hAnsi="Arial" w:cs="Arial"/>
                <w:b/>
                <w:bCs/>
                <w:color w:val="FFFFFF"/>
                <w:sz w:val="18"/>
                <w:szCs w:val="18"/>
              </w:rPr>
              <w:br/>
            </w:r>
            <w:r w:rsidRPr="00B81D97">
              <w:rPr>
                <w:rFonts w:ascii="Arial" w:eastAsia="Times New Roman" w:hAnsi="Arial" w:cs="Arial"/>
                <w:b/>
                <w:bCs/>
                <w:color w:val="FFFFFF"/>
                <w:sz w:val="18"/>
                <w:szCs w:val="18"/>
              </w:rPr>
              <w:t>1</w:t>
            </w:r>
            <w:r w:rsidR="00502446">
              <w:rPr>
                <w:rFonts w:ascii="Arial" w:eastAsia="Times New Roman" w:hAnsi="Arial" w:cs="Arial"/>
                <w:b/>
                <w:bCs/>
                <w:color w:val="FFFFFF"/>
                <w:sz w:val="18"/>
                <w:szCs w:val="18"/>
              </w:rPr>
              <w:t>–</w:t>
            </w:r>
            <w:r w:rsidRPr="00B81D97">
              <w:rPr>
                <w:rFonts w:ascii="Arial" w:eastAsia="Times New Roman" w:hAnsi="Arial" w:cs="Arial"/>
                <w:b/>
                <w:bCs/>
                <w:color w:val="FFFFFF"/>
                <w:sz w:val="18"/>
                <w:szCs w:val="18"/>
              </w:rPr>
              <w:t xml:space="preserve">6 </w:t>
            </w:r>
            <w:r>
              <w:rPr>
                <w:rFonts w:ascii="Arial" w:eastAsia="Times New Roman" w:hAnsi="Arial" w:cs="Arial"/>
                <w:b/>
                <w:bCs/>
                <w:color w:val="FFFFFF"/>
                <w:sz w:val="18"/>
                <w:szCs w:val="18"/>
              </w:rPr>
              <w:t>PM</w:t>
            </w:r>
          </w:p>
        </w:tc>
        <w:tc>
          <w:tcPr>
            <w:tcW w:w="1251" w:type="dxa"/>
            <w:tcBorders>
              <w:top w:val="single" w:sz="4" w:space="0" w:color="FFFFFF"/>
              <w:left w:val="single" w:sz="4" w:space="0" w:color="FFFFFF"/>
              <w:bottom w:val="single" w:sz="4" w:space="0" w:color="auto"/>
              <w:right w:val="single" w:sz="4" w:space="0" w:color="FFFFFF"/>
            </w:tcBorders>
            <w:shd w:val="clear" w:color="000000" w:fill="1F497D"/>
            <w:vAlign w:val="center"/>
            <w:hideMark/>
          </w:tcPr>
          <w:p w:rsidR="00B81D97" w:rsidRPr="00B81D97" w:rsidRDefault="007E27F3" w:rsidP="00B81D97">
            <w:pPr>
              <w:spacing w:after="0" w:line="240" w:lineRule="auto"/>
              <w:jc w:val="center"/>
              <w:rPr>
                <w:rFonts w:ascii="Arial" w:eastAsia="Times New Roman" w:hAnsi="Arial" w:cs="Arial"/>
                <w:b/>
                <w:bCs/>
                <w:color w:val="FFFFFF"/>
                <w:sz w:val="18"/>
                <w:szCs w:val="18"/>
              </w:rPr>
            </w:pPr>
            <w:r w:rsidRPr="00B81D97">
              <w:rPr>
                <w:rFonts w:ascii="Arial" w:eastAsia="Times New Roman" w:hAnsi="Arial" w:cs="Arial"/>
                <w:b/>
                <w:bCs/>
                <w:color w:val="FFFFFF"/>
                <w:sz w:val="18"/>
                <w:szCs w:val="18"/>
              </w:rPr>
              <w:t>MW</w:t>
            </w:r>
            <w:r>
              <w:rPr>
                <w:rFonts w:ascii="Arial" w:eastAsia="Times New Roman" w:hAnsi="Arial" w:cs="Arial"/>
                <w:b/>
                <w:bCs/>
                <w:color w:val="FFFFFF"/>
                <w:sz w:val="18"/>
                <w:szCs w:val="18"/>
              </w:rPr>
              <w:br/>
            </w:r>
            <w:r w:rsidRPr="00B81D97">
              <w:rPr>
                <w:rFonts w:ascii="Arial" w:eastAsia="Times New Roman" w:hAnsi="Arial" w:cs="Arial"/>
                <w:b/>
                <w:bCs/>
                <w:color w:val="FFFFFF"/>
                <w:sz w:val="18"/>
                <w:szCs w:val="18"/>
              </w:rPr>
              <w:t>1</w:t>
            </w:r>
            <w:r w:rsidR="00502446">
              <w:rPr>
                <w:rFonts w:ascii="Arial" w:eastAsia="Times New Roman" w:hAnsi="Arial" w:cs="Arial"/>
                <w:b/>
                <w:bCs/>
                <w:color w:val="FFFFFF"/>
                <w:sz w:val="18"/>
                <w:szCs w:val="18"/>
              </w:rPr>
              <w:t>–</w:t>
            </w:r>
            <w:r w:rsidRPr="00B81D97">
              <w:rPr>
                <w:rFonts w:ascii="Arial" w:eastAsia="Times New Roman" w:hAnsi="Arial" w:cs="Arial"/>
                <w:b/>
                <w:bCs/>
                <w:color w:val="FFFFFF"/>
                <w:sz w:val="18"/>
                <w:szCs w:val="18"/>
              </w:rPr>
              <w:t xml:space="preserve">6 </w:t>
            </w:r>
            <w:r>
              <w:rPr>
                <w:rFonts w:ascii="Arial" w:eastAsia="Times New Roman" w:hAnsi="Arial" w:cs="Arial"/>
                <w:b/>
                <w:bCs/>
                <w:color w:val="FFFFFF"/>
                <w:sz w:val="18"/>
                <w:szCs w:val="18"/>
              </w:rPr>
              <w:t>PM</w:t>
            </w:r>
          </w:p>
        </w:tc>
        <w:tc>
          <w:tcPr>
            <w:tcW w:w="1210" w:type="dxa"/>
            <w:tcBorders>
              <w:top w:val="nil"/>
              <w:left w:val="nil"/>
              <w:bottom w:val="single" w:sz="4" w:space="0" w:color="auto"/>
              <w:right w:val="single" w:sz="4" w:space="0" w:color="auto"/>
            </w:tcBorders>
            <w:shd w:val="clear" w:color="000000" w:fill="1F497D"/>
            <w:vAlign w:val="center"/>
            <w:hideMark/>
          </w:tcPr>
          <w:p w:rsidR="00B81D97" w:rsidRPr="00B81D97" w:rsidRDefault="00B81D97" w:rsidP="00B81D97">
            <w:pPr>
              <w:spacing w:after="0" w:line="240" w:lineRule="auto"/>
              <w:jc w:val="center"/>
              <w:rPr>
                <w:rFonts w:ascii="Arial" w:eastAsia="Times New Roman" w:hAnsi="Arial" w:cs="Arial"/>
                <w:b/>
                <w:color w:val="FFFFFF"/>
                <w:sz w:val="18"/>
                <w:szCs w:val="18"/>
              </w:rPr>
            </w:pPr>
            <w:r w:rsidRPr="00B81D97">
              <w:rPr>
                <w:rFonts w:ascii="Arial" w:eastAsia="Times New Roman" w:hAnsi="Arial" w:cs="Arial"/>
                <w:b/>
                <w:color w:val="FFFFFF"/>
                <w:sz w:val="18"/>
                <w:szCs w:val="18"/>
              </w:rPr>
              <w:t>(°F)</w:t>
            </w:r>
          </w:p>
        </w:tc>
      </w:tr>
      <w:tr w:rsidR="00B81D97" w:rsidRPr="00B81D97" w:rsidTr="00B81D97">
        <w:trPr>
          <w:trHeight w:val="300"/>
        </w:trPr>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1-in-10 August System Peak Day</w:t>
            </w:r>
          </w:p>
        </w:tc>
        <w:tc>
          <w:tcPr>
            <w:tcW w:w="1048" w:type="dxa"/>
            <w:tcBorders>
              <w:top w:val="single" w:sz="4" w:space="0" w:color="auto"/>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2012</w:t>
            </w:r>
          </w:p>
        </w:tc>
        <w:tc>
          <w:tcPr>
            <w:tcW w:w="1419" w:type="dxa"/>
            <w:tcBorders>
              <w:top w:val="single" w:sz="4" w:space="0" w:color="auto"/>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1,401</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471.6</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438.2</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33.4</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7.1%</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94.5</w:t>
            </w:r>
          </w:p>
        </w:tc>
      </w:tr>
      <w:tr w:rsidR="00B81D97" w:rsidRPr="00B81D97" w:rsidTr="00B81D97">
        <w:trPr>
          <w:trHeight w:val="300"/>
        </w:trPr>
        <w:tc>
          <w:tcPr>
            <w:tcW w:w="111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2013</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1,483</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500.1</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464.3</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35.7</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7.1%</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94.4</w:t>
            </w:r>
          </w:p>
        </w:tc>
      </w:tr>
      <w:tr w:rsidR="00B81D97" w:rsidRPr="00B81D97" w:rsidTr="00B81D97">
        <w:trPr>
          <w:trHeight w:val="300"/>
        </w:trPr>
        <w:tc>
          <w:tcPr>
            <w:tcW w:w="111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2014</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1,796</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603.6</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559.5</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44.1</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7.3%</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94.7</w:t>
            </w:r>
          </w:p>
        </w:tc>
      </w:tr>
      <w:tr w:rsidR="00B81D97" w:rsidRPr="00B81D97" w:rsidTr="00B81D97">
        <w:trPr>
          <w:trHeight w:val="300"/>
        </w:trPr>
        <w:tc>
          <w:tcPr>
            <w:tcW w:w="111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2015</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609.7</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565.2</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7.3%</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94.8</w:t>
            </w:r>
          </w:p>
        </w:tc>
      </w:tr>
      <w:tr w:rsidR="00B81D97" w:rsidRPr="00B81D97" w:rsidTr="00B81D97">
        <w:trPr>
          <w:trHeight w:val="300"/>
        </w:trPr>
        <w:tc>
          <w:tcPr>
            <w:tcW w:w="111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2016</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609.9</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565.3</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7.3%</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94.8</w:t>
            </w:r>
          </w:p>
        </w:tc>
      </w:tr>
      <w:tr w:rsidR="00B81D97" w:rsidRPr="00B81D97" w:rsidTr="00B81D97">
        <w:trPr>
          <w:trHeight w:val="300"/>
        </w:trPr>
        <w:tc>
          <w:tcPr>
            <w:tcW w:w="111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2017</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609.9</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565.3</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7.3%</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94.8</w:t>
            </w:r>
          </w:p>
        </w:tc>
      </w:tr>
      <w:tr w:rsidR="00B81D97" w:rsidRPr="00B81D97" w:rsidTr="00B81D97">
        <w:trPr>
          <w:trHeight w:val="300"/>
        </w:trPr>
        <w:tc>
          <w:tcPr>
            <w:tcW w:w="111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2018</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609.9</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565.3</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7.3%</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94.8</w:t>
            </w:r>
          </w:p>
        </w:tc>
      </w:tr>
      <w:tr w:rsidR="00B81D97" w:rsidRPr="00B81D97" w:rsidTr="00B81D97">
        <w:trPr>
          <w:trHeight w:val="300"/>
        </w:trPr>
        <w:tc>
          <w:tcPr>
            <w:tcW w:w="111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2019</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609.9</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565.3</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7.3%</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94.8</w:t>
            </w:r>
          </w:p>
        </w:tc>
      </w:tr>
      <w:tr w:rsidR="00B81D97" w:rsidRPr="00B81D97" w:rsidTr="00B81D97">
        <w:trPr>
          <w:trHeight w:val="300"/>
        </w:trPr>
        <w:tc>
          <w:tcPr>
            <w:tcW w:w="111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2020</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609.8</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565.3</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7.3%</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94.8</w:t>
            </w:r>
          </w:p>
        </w:tc>
      </w:tr>
      <w:tr w:rsidR="00B81D97" w:rsidRPr="00B81D97" w:rsidTr="00B81D97">
        <w:trPr>
          <w:trHeight w:val="300"/>
        </w:trPr>
        <w:tc>
          <w:tcPr>
            <w:tcW w:w="111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2021</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609.8</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565.2</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7.3%</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94.8</w:t>
            </w:r>
          </w:p>
        </w:tc>
      </w:tr>
      <w:tr w:rsidR="00B81D97" w:rsidRPr="00B81D97" w:rsidTr="00B81D97">
        <w:trPr>
          <w:trHeight w:val="300"/>
        </w:trPr>
        <w:tc>
          <w:tcPr>
            <w:tcW w:w="111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2022</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609.8</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565.2</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7.3%</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94.8</w:t>
            </w:r>
          </w:p>
        </w:tc>
      </w:tr>
      <w:tr w:rsidR="00B81D97" w:rsidRPr="00B81D97" w:rsidTr="00B81D97">
        <w:trPr>
          <w:trHeight w:val="300"/>
        </w:trPr>
        <w:tc>
          <w:tcPr>
            <w:tcW w:w="111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2023</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609.8</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565.2</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7.3%</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94.8</w:t>
            </w:r>
          </w:p>
        </w:tc>
      </w:tr>
      <w:tr w:rsidR="00B81D97" w:rsidRPr="00B81D97" w:rsidTr="00B81D97">
        <w:trPr>
          <w:trHeight w:val="300"/>
        </w:trPr>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1-in-2 August System Peak Day</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2012</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1,401</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486.6</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448.7</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37.9</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7.8%</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93.4</w:t>
            </w:r>
          </w:p>
        </w:tc>
      </w:tr>
      <w:tr w:rsidR="00B81D97" w:rsidRPr="00B81D97" w:rsidTr="00B81D97">
        <w:trPr>
          <w:trHeight w:val="300"/>
        </w:trPr>
        <w:tc>
          <w:tcPr>
            <w:tcW w:w="111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2013</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1,483</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516.0</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475.9</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40.1</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7.8%</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93.4</w:t>
            </w:r>
          </w:p>
        </w:tc>
      </w:tr>
      <w:tr w:rsidR="00B81D97" w:rsidRPr="00B81D97" w:rsidTr="00B81D97">
        <w:trPr>
          <w:trHeight w:val="300"/>
        </w:trPr>
        <w:tc>
          <w:tcPr>
            <w:tcW w:w="111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2014</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1,796</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622.6</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572.9</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49.7</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8.0%</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93.5</w:t>
            </w:r>
          </w:p>
        </w:tc>
      </w:tr>
      <w:tr w:rsidR="00B81D97" w:rsidRPr="00B81D97" w:rsidTr="00B81D97">
        <w:trPr>
          <w:trHeight w:val="300"/>
        </w:trPr>
        <w:tc>
          <w:tcPr>
            <w:tcW w:w="111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2015</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628.9</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578.7</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8.0%</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93.5</w:t>
            </w:r>
          </w:p>
        </w:tc>
      </w:tr>
      <w:tr w:rsidR="00B81D97" w:rsidRPr="00B81D97" w:rsidTr="00B81D97">
        <w:trPr>
          <w:trHeight w:val="300"/>
        </w:trPr>
        <w:tc>
          <w:tcPr>
            <w:tcW w:w="111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2016</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629.0</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578.8</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8.0%</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93.5</w:t>
            </w:r>
          </w:p>
        </w:tc>
      </w:tr>
      <w:tr w:rsidR="00B81D97" w:rsidRPr="00B81D97" w:rsidTr="00B81D97">
        <w:trPr>
          <w:trHeight w:val="300"/>
        </w:trPr>
        <w:tc>
          <w:tcPr>
            <w:tcW w:w="111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2017</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629.0</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578.8</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8.0%</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93.5</w:t>
            </w:r>
          </w:p>
        </w:tc>
      </w:tr>
      <w:tr w:rsidR="00B81D97" w:rsidRPr="00B81D97" w:rsidTr="00B81D97">
        <w:trPr>
          <w:trHeight w:val="300"/>
        </w:trPr>
        <w:tc>
          <w:tcPr>
            <w:tcW w:w="111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2018</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629.0</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578.8</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8.0%</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93.5</w:t>
            </w:r>
          </w:p>
        </w:tc>
      </w:tr>
      <w:tr w:rsidR="00B81D97" w:rsidRPr="00B81D97" w:rsidTr="00B81D97">
        <w:trPr>
          <w:trHeight w:val="300"/>
        </w:trPr>
        <w:tc>
          <w:tcPr>
            <w:tcW w:w="111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2019</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629.0</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578.8</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8.0%</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93.5</w:t>
            </w:r>
          </w:p>
        </w:tc>
      </w:tr>
      <w:tr w:rsidR="00B81D97" w:rsidRPr="00B81D97" w:rsidTr="00B81D97">
        <w:trPr>
          <w:trHeight w:val="300"/>
        </w:trPr>
        <w:tc>
          <w:tcPr>
            <w:tcW w:w="111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2020</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628.9</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578.7</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8.0%</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93.5</w:t>
            </w:r>
          </w:p>
        </w:tc>
      </w:tr>
      <w:tr w:rsidR="00B81D97" w:rsidRPr="00B81D97" w:rsidTr="00B81D97">
        <w:trPr>
          <w:trHeight w:val="300"/>
        </w:trPr>
        <w:tc>
          <w:tcPr>
            <w:tcW w:w="111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2021</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628.9</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578.7</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8.0%</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93.5</w:t>
            </w:r>
          </w:p>
        </w:tc>
      </w:tr>
      <w:tr w:rsidR="00B81D97" w:rsidRPr="00B81D97" w:rsidTr="00B81D97">
        <w:trPr>
          <w:trHeight w:val="300"/>
        </w:trPr>
        <w:tc>
          <w:tcPr>
            <w:tcW w:w="111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2022</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628.9</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578.7</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8.0%</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93.5</w:t>
            </w:r>
          </w:p>
        </w:tc>
      </w:tr>
      <w:tr w:rsidR="00B81D97" w:rsidRPr="00B81D97" w:rsidTr="00B81D97">
        <w:trPr>
          <w:trHeight w:val="300"/>
        </w:trPr>
        <w:tc>
          <w:tcPr>
            <w:tcW w:w="111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2023</w:t>
            </w:r>
          </w:p>
        </w:tc>
        <w:tc>
          <w:tcPr>
            <w:tcW w:w="141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1,815</w:t>
            </w:r>
          </w:p>
        </w:tc>
        <w:tc>
          <w:tcPr>
            <w:tcW w:w="1247"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628.9</w:t>
            </w:r>
          </w:p>
        </w:tc>
        <w:tc>
          <w:tcPr>
            <w:tcW w:w="1239"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578.7</w:t>
            </w:r>
          </w:p>
        </w:tc>
        <w:tc>
          <w:tcPr>
            <w:tcW w:w="1048"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251"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8.0%</w:t>
            </w:r>
          </w:p>
        </w:tc>
        <w:tc>
          <w:tcPr>
            <w:tcW w:w="1210"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93.5</w:t>
            </w:r>
          </w:p>
        </w:tc>
      </w:tr>
    </w:tbl>
    <w:p w:rsidR="00965107" w:rsidRDefault="00EF76C3" w:rsidP="00E640AA">
      <w:pPr>
        <w:pStyle w:val="BodyParaAfterTableFigure"/>
        <w:rPr>
          <w:highlight w:val="yellow"/>
        </w:rPr>
      </w:pPr>
      <w:r w:rsidRPr="00C71BA2">
        <w:t>In 201</w:t>
      </w:r>
      <w:r>
        <w:t>3</w:t>
      </w:r>
      <w:r w:rsidRPr="00C71BA2">
        <w:t xml:space="preserve">, the average aggregate load impact during </w:t>
      </w:r>
      <w:r>
        <w:t xml:space="preserve">an August event for the 1-in-2 </w:t>
      </w:r>
      <w:r w:rsidRPr="00C71BA2">
        <w:t xml:space="preserve">weather year scenario is </w:t>
      </w:r>
      <w:r>
        <w:t>estimated to be 40.</w:t>
      </w:r>
      <w:r w:rsidR="00B81D97">
        <w:t>1</w:t>
      </w:r>
      <w:r w:rsidRPr="00C71BA2">
        <w:t xml:space="preserve"> MW.  </w:t>
      </w:r>
      <w:r>
        <w:t>By 2014, the load reduction capability under the same set of conditions is expected to</w:t>
      </w:r>
      <w:r w:rsidRPr="00C71BA2">
        <w:t xml:space="preserve"> grow to </w:t>
      </w:r>
      <w:r w:rsidR="00B81D97">
        <w:t>49</w:t>
      </w:r>
      <w:r>
        <w:t>.</w:t>
      </w:r>
      <w:r w:rsidR="00B81D97">
        <w:t>7</w:t>
      </w:r>
      <w:r w:rsidRPr="00C71BA2">
        <w:t> MW</w:t>
      </w:r>
      <w:r>
        <w:t xml:space="preserve">.  </w:t>
      </w:r>
      <w:r w:rsidRPr="002F3749">
        <w:t xml:space="preserve">Depending on the forecast year and weather conditions, large customers in the CPP program </w:t>
      </w:r>
      <w:r>
        <w:t>are expected to reduce between 7.1% and 8.0</w:t>
      </w:r>
      <w:r w:rsidRPr="002F3749">
        <w:t xml:space="preserve">% of </w:t>
      </w:r>
      <w:r w:rsidR="00580401">
        <w:t>load</w:t>
      </w:r>
      <w:r w:rsidRPr="002F3749">
        <w:t xml:space="preserve"> under peaking conditions.</w:t>
      </w:r>
      <w:r>
        <w:t xml:space="preserve">  The reductions match well to the percent reductions observed for ex post events in 2012, which were around 7% on average.  The small differences are due to differences in the weather conditions and because the ex ante impacts </w:t>
      </w:r>
      <w:r w:rsidR="00965107">
        <w:t>are based on ex post results for event days in 2010 and 2011 as well as 2012.</w:t>
      </w:r>
      <w:r w:rsidR="00B81D97">
        <w:t xml:space="preserve">  In addition, the large population is a subset of the broader default CPP population.</w:t>
      </w:r>
    </w:p>
    <w:p w:rsidR="00EF76C3" w:rsidRPr="00057782" w:rsidRDefault="00EF76C3" w:rsidP="00EF76C3">
      <w:pPr>
        <w:pStyle w:val="BodyParagraph"/>
      </w:pPr>
      <w:r w:rsidRPr="00EB22D8">
        <w:lastRenderedPageBreak/>
        <w:t>As a reference point, the load reduction capability for the 1,401 large customers enrolled in default CPP at the end of the 2012 summer</w:t>
      </w:r>
      <w:r w:rsidR="006722FF" w:rsidRPr="00EB22D8">
        <w:t xml:space="preserve"> are included</w:t>
      </w:r>
      <w:r w:rsidRPr="00EB22D8">
        <w:t>.</w:t>
      </w:r>
      <w:r w:rsidRPr="00EB22D8">
        <w:rPr>
          <w:rStyle w:val="FootnoteReference"/>
        </w:rPr>
        <w:footnoteReference w:id="27"/>
      </w:r>
      <w:r w:rsidRPr="00EB22D8">
        <w:t xml:space="preserve">  Any difference between historical ex post demand reductions and ex ante load impacts estimates for these customers is exclusively due to adjustments for standardized weather conditions and the assumption </w:t>
      </w:r>
      <w:r w:rsidR="00965107" w:rsidRPr="00057782">
        <w:t>about</w:t>
      </w:r>
      <w:r w:rsidRPr="00EB22D8">
        <w:t xml:space="preserve"> impacts for the 1</w:t>
      </w:r>
      <w:r w:rsidR="00502446">
        <w:t>–</w:t>
      </w:r>
      <w:r w:rsidRPr="00EB22D8">
        <w:t>2 PM period.  As</w:t>
      </w:r>
      <w:r w:rsidR="00564E9A">
        <w:t> </w:t>
      </w:r>
      <w:r w:rsidRPr="00EB22D8">
        <w:t xml:space="preserve">noted earlier, business loads tend to </w:t>
      </w:r>
      <w:r w:rsidR="00965107" w:rsidRPr="00057782">
        <w:t xml:space="preserve">be </w:t>
      </w:r>
      <w:r w:rsidRPr="00EB22D8">
        <w:t xml:space="preserve">higher during that specific hour than they are for the </w:t>
      </w:r>
      <w:r w:rsidR="00564E9A">
        <w:br/>
      </w:r>
      <w:r w:rsidRPr="00EB22D8">
        <w:t>2</w:t>
      </w:r>
      <w:r w:rsidR="00502446">
        <w:t>–</w:t>
      </w:r>
      <w:r w:rsidRPr="00EB22D8">
        <w:t xml:space="preserve">6 PM </w:t>
      </w:r>
      <w:r w:rsidRPr="00057782">
        <w:t xml:space="preserve">period.   </w:t>
      </w:r>
    </w:p>
    <w:p w:rsidR="00EF76C3" w:rsidRDefault="00EF76C3" w:rsidP="00EF76C3">
      <w:pPr>
        <w:pStyle w:val="BodyParagraph"/>
      </w:pPr>
      <w:r w:rsidRPr="002B5AC6">
        <w:t>Figure 7-1 compares the 2012 ex post load impacts based on individual customer regressions and ex</w:t>
      </w:r>
      <w:r w:rsidR="00564E9A">
        <w:t> </w:t>
      </w:r>
      <w:r w:rsidRPr="002B5AC6">
        <w:t xml:space="preserve">ante load impacts for the months of May </w:t>
      </w:r>
      <w:r w:rsidR="00965107" w:rsidRPr="00057782">
        <w:t>through</w:t>
      </w:r>
      <w:r w:rsidRPr="00057782">
        <w:t xml:space="preserve"> October.  Both estimates in Figure 7-1 use the historical 2</w:t>
      </w:r>
      <w:r w:rsidR="00564E9A">
        <w:t>–</w:t>
      </w:r>
      <w:r w:rsidRPr="00057782">
        <w:t>6 PM event window.  Both the magnitude of the demand reductions, between 7% and 1</w:t>
      </w:r>
      <w:r w:rsidR="00580401" w:rsidRPr="002B5AC6">
        <w:t>2</w:t>
      </w:r>
      <w:r w:rsidR="00966314">
        <w:t xml:space="preserve">%, and the weather sensitivity of the demand reductions are similar.  </w:t>
      </w:r>
      <w:r w:rsidR="00B15979">
        <w:t>T</w:t>
      </w:r>
      <w:r w:rsidR="00966314">
        <w:t>he ex ante load impact</w:t>
      </w:r>
      <w:r w:rsidR="00965107" w:rsidRPr="00057782">
        <w:t>s</w:t>
      </w:r>
      <w:r w:rsidRPr="00057782">
        <w:t xml:space="preserve"> </w:t>
      </w:r>
      <w:r w:rsidR="00B15979">
        <w:t xml:space="preserve">simply </w:t>
      </w:r>
      <w:r w:rsidRPr="00057782">
        <w:t>reflect historical event patterns.</w:t>
      </w:r>
    </w:p>
    <w:p w:rsidR="00EF76C3" w:rsidRDefault="00966314" w:rsidP="00EF76C3">
      <w:pPr>
        <w:pStyle w:val="TableFigureCaption"/>
      </w:pPr>
      <w:r w:rsidRPr="00340FC0">
        <w:t>Figure 7-1:</w:t>
      </w:r>
      <w:r w:rsidR="00626371">
        <w:t xml:space="preserve"> </w:t>
      </w:r>
      <w:r w:rsidR="00EF76C3">
        <w:t xml:space="preserve">Comparison of Ex Post and Ex Ante Load Impacts for 2012 Large Participants </w:t>
      </w:r>
      <w:r w:rsidR="00502446">
        <w:br/>
      </w:r>
      <w:r w:rsidR="00EF76C3">
        <w:t>(2</w:t>
      </w:r>
      <w:r w:rsidR="00502446">
        <w:t>–</w:t>
      </w:r>
      <w:r w:rsidR="00EF76C3">
        <w:t>6 PM)</w:t>
      </w:r>
      <w:r w:rsidR="00EF76C3">
        <w:rPr>
          <w:rStyle w:val="FootnoteReference"/>
        </w:rPr>
        <w:footnoteReference w:id="28"/>
      </w:r>
    </w:p>
    <w:p w:rsidR="00EF76C3" w:rsidRDefault="00EF76C3" w:rsidP="00EF76C3">
      <w:pPr>
        <w:pStyle w:val="BodyParagraph"/>
      </w:pPr>
      <w:r>
        <w:rPr>
          <w:rFonts w:ascii="Calibri" w:eastAsia="Times New Roman" w:hAnsi="Calibri" w:cs="Times New Roman"/>
          <w:noProof/>
          <w:color w:val="000000"/>
        </w:rPr>
        <w:drawing>
          <wp:inline distT="0" distB="0" distL="0" distR="0" wp14:anchorId="559D526B" wp14:editId="0F6FC344">
            <wp:extent cx="5943600" cy="3239135"/>
            <wp:effectExtent l="0" t="0" r="0" b="0"/>
            <wp:docPr id="2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3600" cy="3239135"/>
                    </a:xfrm>
                    <a:prstGeom prst="rect">
                      <a:avLst/>
                    </a:prstGeom>
                    <a:noFill/>
                    <a:ln>
                      <a:noFill/>
                    </a:ln>
                  </pic:spPr>
                </pic:pic>
              </a:graphicData>
            </a:graphic>
          </wp:inline>
        </w:drawing>
      </w:r>
      <w:r>
        <w:t xml:space="preserve"> </w:t>
      </w:r>
    </w:p>
    <w:p w:rsidR="00EF76C3" w:rsidRDefault="00893A3F" w:rsidP="00A907B2">
      <w:pPr>
        <w:pStyle w:val="BodyParagraph"/>
        <w:rPr>
          <w:rFonts w:ascii="Calibri" w:eastAsia="Times New Roman" w:hAnsi="Calibri" w:cs="Times New Roman"/>
          <w:color w:val="000000"/>
        </w:rPr>
      </w:pPr>
      <w:r>
        <w:t>P</w:t>
      </w:r>
      <w:r w:rsidR="00EF76C3" w:rsidRPr="0002718D">
        <w:t>ortfolio</w:t>
      </w:r>
      <w:r w:rsidR="00EF76C3">
        <w:t>-</w:t>
      </w:r>
      <w:r w:rsidR="00EF76C3" w:rsidRPr="0002718D">
        <w:t>adjusted load impacts exclude customers dually enrolled in BIP or aggregator programs, which are among the most responsive participants.  Figure 7-2 illustrates the effect of removing dually enrolled customers.  The comparison is made with participants enrolled at the end of summer 2012.  The portfolio</w:t>
      </w:r>
      <w:r w:rsidR="00EF76C3">
        <w:t>-</w:t>
      </w:r>
      <w:r w:rsidR="00EF76C3" w:rsidRPr="0002718D">
        <w:t>adjusted demand reductions are 2 to 3 percentage points lower than the program specific results.  For 1-in-2 weather year conditions, the program</w:t>
      </w:r>
      <w:r w:rsidR="00EF76C3">
        <w:t>-specific reduction is 7.8</w:t>
      </w:r>
      <w:r w:rsidR="00EF76C3" w:rsidRPr="0002718D">
        <w:t>% while the</w:t>
      </w:r>
      <w:r w:rsidR="00564E9A">
        <w:t> </w:t>
      </w:r>
      <w:r w:rsidR="00EF76C3" w:rsidRPr="0002718D">
        <w:t>portfolio</w:t>
      </w:r>
      <w:r w:rsidR="00EF76C3">
        <w:t>-adjusted reduction is 5.1</w:t>
      </w:r>
      <w:r w:rsidR="00EF76C3" w:rsidRPr="0002718D">
        <w:t xml:space="preserve">% for the August monthly peak. </w:t>
      </w:r>
    </w:p>
    <w:p w:rsidR="00EF76C3" w:rsidRDefault="00EF76C3" w:rsidP="00877990">
      <w:pPr>
        <w:pStyle w:val="TableFigureCaption"/>
        <w:contextualSpacing/>
      </w:pPr>
      <w:r>
        <w:lastRenderedPageBreak/>
        <w:t>Figure 7-2:</w:t>
      </w:r>
      <w:r w:rsidR="00626371">
        <w:t xml:space="preserve"> </w:t>
      </w:r>
      <w:r>
        <w:t>Comparison of Portfolio-adjusted to Program-specific Ex Ante Load Impacts</w:t>
      </w:r>
    </w:p>
    <w:p w:rsidR="00EF76C3" w:rsidRDefault="00EF76C3" w:rsidP="00877990">
      <w:pPr>
        <w:pStyle w:val="TableFigureCaption"/>
        <w:contextualSpacing/>
      </w:pPr>
      <w:r>
        <w:t>May to October Monthly Peaks for Current Participants</w:t>
      </w:r>
    </w:p>
    <w:p w:rsidR="001E3B5B" w:rsidRDefault="001E3B5B" w:rsidP="00340FC0">
      <w:pPr>
        <w:jc w:val="center"/>
        <w:rPr>
          <w:rFonts w:ascii="Calibri" w:eastAsia="Times New Roman" w:hAnsi="Calibri" w:cs="Times New Roman"/>
          <w:color w:val="000000"/>
        </w:rPr>
      </w:pPr>
      <w:r w:rsidRPr="00340FC0">
        <w:rPr>
          <w:rFonts w:ascii="Calibri" w:eastAsia="Times New Roman" w:hAnsi="Calibri" w:cs="Times New Roman"/>
          <w:noProof/>
          <w:color w:val="000000"/>
        </w:rPr>
        <w:drawing>
          <wp:inline distT="0" distB="0" distL="0" distR="0" wp14:anchorId="4DA2CCDD" wp14:editId="799A06DC">
            <wp:extent cx="4791075" cy="2612397"/>
            <wp:effectExtent l="0" t="0" r="0" b="0"/>
            <wp:docPr id="1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srcRect/>
                    <a:stretch>
                      <a:fillRect/>
                    </a:stretch>
                  </pic:blipFill>
                  <pic:spPr bwMode="auto">
                    <a:xfrm>
                      <a:off x="0" y="0"/>
                      <a:ext cx="4791075" cy="2612397"/>
                    </a:xfrm>
                    <a:prstGeom prst="rect">
                      <a:avLst/>
                    </a:prstGeom>
                    <a:noFill/>
                    <a:ln w="9525">
                      <a:noFill/>
                      <a:miter lim="800000"/>
                      <a:headEnd/>
                      <a:tailEnd/>
                    </a:ln>
                  </pic:spPr>
                </pic:pic>
              </a:graphicData>
            </a:graphic>
          </wp:inline>
        </w:drawing>
      </w:r>
    </w:p>
    <w:p w:rsidR="00EF76C3" w:rsidRDefault="00EF76C3" w:rsidP="007E27F3">
      <w:pPr>
        <w:pStyle w:val="Heading3"/>
        <w:spacing w:before="360"/>
        <w:ind w:left="1354" w:hanging="994"/>
      </w:pPr>
      <w:bookmarkStart w:id="159" w:name="_Toc289093912"/>
      <w:bookmarkStart w:id="160" w:name="_Toc289094000"/>
      <w:bookmarkStart w:id="161" w:name="_Toc289112737"/>
      <w:bookmarkStart w:id="162" w:name="_Toc289178031"/>
      <w:bookmarkStart w:id="163" w:name="_Toc326072131"/>
      <w:bookmarkStart w:id="164" w:name="_Toc350845367"/>
      <w:bookmarkStart w:id="165" w:name="_Toc352323655"/>
      <w:bookmarkEnd w:id="159"/>
      <w:bookmarkEnd w:id="160"/>
      <w:bookmarkEnd w:id="161"/>
      <w:r>
        <w:t>Ex Ante Load Impact Uncertainty</w:t>
      </w:r>
      <w:bookmarkEnd w:id="162"/>
      <w:bookmarkEnd w:id="163"/>
      <w:bookmarkEnd w:id="164"/>
      <w:bookmarkEnd w:id="165"/>
      <w:r>
        <w:t xml:space="preserve"> </w:t>
      </w:r>
    </w:p>
    <w:p w:rsidR="00EF76C3" w:rsidRDefault="00EF76C3" w:rsidP="00EF76C3">
      <w:pPr>
        <w:pStyle w:val="BodyParagraph"/>
      </w:pPr>
      <w:r>
        <w:t>Table 7-3 summarizes the statistical uncertainty in the ex ante annual system peak load impact estimates for large customers.</w:t>
      </w:r>
      <w:r w:rsidRPr="00862A0E">
        <w:t xml:space="preserve"> </w:t>
      </w:r>
      <w:r>
        <w:t xml:space="preserve"> The ex ante impacts do not reflect uncertainty in enrollment.</w:t>
      </w:r>
      <w:r w:rsidRPr="00862A0E">
        <w:t xml:space="preserve"> </w:t>
      </w:r>
      <w:r>
        <w:t xml:space="preserve"> </w:t>
      </w:r>
      <w:r w:rsidRPr="00BE286E">
        <w:t>A</w:t>
      </w:r>
      <w:r>
        <w:t>t first glance</w:t>
      </w:r>
      <w:r w:rsidRPr="00BE286E">
        <w:t>, the uncertainty</w:t>
      </w:r>
      <w:r>
        <w:t xml:space="preserve"> appears large.  For example, in 2013</w:t>
      </w:r>
      <w:r w:rsidRPr="00BE286E">
        <w:t>, the</w:t>
      </w:r>
      <w:r>
        <w:t xml:space="preserve"> projected load impacts for 1-in-2 weather conditions are 4</w:t>
      </w:r>
      <w:r w:rsidR="007A78AD">
        <w:t>0.1</w:t>
      </w:r>
      <w:r>
        <w:t xml:space="preserve"> ±</w:t>
      </w:r>
      <w:r w:rsidR="007A78AD">
        <w:t>5</w:t>
      </w:r>
      <w:r>
        <w:t>.</w:t>
      </w:r>
      <w:r w:rsidR="007A78AD">
        <w:t>1</w:t>
      </w:r>
      <w:r>
        <w:t xml:space="preserve"> MW, with</w:t>
      </w:r>
      <w:r w:rsidRPr="00BE286E">
        <w:t xml:space="preserve"> 80% confidence.  </w:t>
      </w:r>
      <w:r>
        <w:t>The uncertainty reflects both the challenge of accurately estimating small percentage demand reductions and the variability in performance observed across events.</w:t>
      </w:r>
    </w:p>
    <w:p w:rsidR="00877990" w:rsidRDefault="00877990">
      <w:pPr>
        <w:rPr>
          <w:rFonts w:ascii="Verdana" w:hAnsi="Verdana"/>
          <w:sz w:val="18"/>
        </w:rPr>
      </w:pPr>
      <w:r>
        <w:br w:type="page"/>
      </w:r>
    </w:p>
    <w:p w:rsidR="00EF76C3" w:rsidRDefault="00EF76C3" w:rsidP="00EF76C3">
      <w:pPr>
        <w:pStyle w:val="TableFigureCaption"/>
      </w:pPr>
      <w:r>
        <w:lastRenderedPageBreak/>
        <w:t>Table 7-3:</w:t>
      </w:r>
      <w:r w:rsidR="00626371">
        <w:t xml:space="preserve"> </w:t>
      </w:r>
      <w:r>
        <w:t>PG&amp;E Program Annual</w:t>
      </w:r>
      <w:r w:rsidRPr="009B536E">
        <w:t xml:space="preserve"> Peak Day Load Impacts</w:t>
      </w:r>
      <w:r>
        <w:t xml:space="preserve"> for Large Customers</w:t>
      </w:r>
      <w:r w:rsidRPr="009B536E">
        <w:t xml:space="preserve"> with Uncertainty </w:t>
      </w:r>
      <w:r w:rsidRPr="009B536E">
        <w:br/>
        <w:t>(</w:t>
      </w:r>
      <w:r>
        <w:t>Hourly Average Reduction in MW Over Event Day Period 1</w:t>
      </w:r>
      <w:r w:rsidR="00502446">
        <w:t>–</w:t>
      </w:r>
      <w:r>
        <w:t>6 PM</w:t>
      </w:r>
      <w:r w:rsidRPr="009B536E">
        <w:t>)</w:t>
      </w:r>
    </w:p>
    <w:tbl>
      <w:tblPr>
        <w:tblW w:w="0" w:type="auto"/>
        <w:tblLayout w:type="fixed"/>
        <w:tblLook w:val="04A0" w:firstRow="1" w:lastRow="0" w:firstColumn="1" w:lastColumn="0" w:noHBand="0" w:noVBand="1"/>
      </w:tblPr>
      <w:tblGrid>
        <w:gridCol w:w="1154"/>
        <w:gridCol w:w="1155"/>
        <w:gridCol w:w="1492"/>
        <w:gridCol w:w="1155"/>
        <w:gridCol w:w="1155"/>
        <w:gridCol w:w="1155"/>
        <w:gridCol w:w="1155"/>
        <w:gridCol w:w="1155"/>
      </w:tblGrid>
      <w:tr w:rsidR="00B81D97" w:rsidRPr="00B81D97" w:rsidTr="00B81D97">
        <w:trPr>
          <w:trHeight w:val="720"/>
        </w:trPr>
        <w:tc>
          <w:tcPr>
            <w:tcW w:w="1154" w:type="dxa"/>
            <w:vMerge w:val="restart"/>
            <w:tcBorders>
              <w:top w:val="single" w:sz="4" w:space="0" w:color="1F497D"/>
              <w:left w:val="single" w:sz="4" w:space="0" w:color="1F497D"/>
              <w:bottom w:val="single" w:sz="4" w:space="0" w:color="FFFFFF"/>
              <w:right w:val="single" w:sz="4" w:space="0" w:color="FFFFFF"/>
            </w:tcBorders>
            <w:shd w:val="clear" w:color="000000" w:fill="1F497D"/>
            <w:vAlign w:val="center"/>
            <w:hideMark/>
          </w:tcPr>
          <w:p w:rsidR="00B81D97" w:rsidRPr="00B81D97" w:rsidRDefault="00B81D97" w:rsidP="00B81D97">
            <w:pPr>
              <w:spacing w:after="0" w:line="240" w:lineRule="auto"/>
              <w:jc w:val="center"/>
              <w:rPr>
                <w:rFonts w:ascii="Arial" w:eastAsia="Times New Roman" w:hAnsi="Arial" w:cs="Arial"/>
                <w:b/>
                <w:bCs/>
                <w:color w:val="FFFFFF"/>
                <w:sz w:val="18"/>
                <w:szCs w:val="18"/>
              </w:rPr>
            </w:pPr>
            <w:r w:rsidRPr="00B81D97">
              <w:rPr>
                <w:rFonts w:ascii="Arial" w:eastAsia="Times New Roman" w:hAnsi="Arial" w:cs="Arial"/>
                <w:b/>
                <w:bCs/>
                <w:color w:val="FFFFFF"/>
                <w:sz w:val="18"/>
                <w:szCs w:val="18"/>
              </w:rPr>
              <w:t>Weather Year</w:t>
            </w:r>
          </w:p>
        </w:tc>
        <w:tc>
          <w:tcPr>
            <w:tcW w:w="1155" w:type="dxa"/>
            <w:vMerge w:val="restart"/>
            <w:tcBorders>
              <w:top w:val="single" w:sz="4" w:space="0" w:color="1F497D"/>
              <w:left w:val="single" w:sz="4" w:space="0" w:color="FFFFFF"/>
              <w:bottom w:val="single" w:sz="4" w:space="0" w:color="FFFFFF"/>
              <w:right w:val="single" w:sz="4" w:space="0" w:color="FFFFFF"/>
            </w:tcBorders>
            <w:shd w:val="clear" w:color="000000" w:fill="1F497D"/>
            <w:vAlign w:val="center"/>
            <w:hideMark/>
          </w:tcPr>
          <w:p w:rsidR="00B81D97" w:rsidRPr="00B81D97" w:rsidRDefault="00B81D97" w:rsidP="00B81D97">
            <w:pPr>
              <w:spacing w:after="0" w:line="240" w:lineRule="auto"/>
              <w:jc w:val="center"/>
              <w:rPr>
                <w:rFonts w:ascii="Arial" w:eastAsia="Times New Roman" w:hAnsi="Arial" w:cs="Arial"/>
                <w:b/>
                <w:bCs/>
                <w:color w:val="FFFFFF"/>
                <w:sz w:val="18"/>
                <w:szCs w:val="18"/>
              </w:rPr>
            </w:pPr>
            <w:r w:rsidRPr="00B81D97">
              <w:rPr>
                <w:rFonts w:ascii="Arial" w:eastAsia="Times New Roman" w:hAnsi="Arial" w:cs="Arial"/>
                <w:b/>
                <w:bCs/>
                <w:color w:val="FFFFFF"/>
                <w:sz w:val="18"/>
                <w:szCs w:val="18"/>
              </w:rPr>
              <w:t>Year</w:t>
            </w:r>
          </w:p>
        </w:tc>
        <w:tc>
          <w:tcPr>
            <w:tcW w:w="1492" w:type="dxa"/>
            <w:tcBorders>
              <w:top w:val="single" w:sz="4" w:space="0" w:color="1F497D"/>
              <w:left w:val="nil"/>
              <w:bottom w:val="single" w:sz="4" w:space="0" w:color="FFFFFF"/>
              <w:right w:val="single" w:sz="4" w:space="0" w:color="FFFFFF"/>
            </w:tcBorders>
            <w:shd w:val="clear" w:color="000000" w:fill="1F497D"/>
            <w:vAlign w:val="center"/>
            <w:hideMark/>
          </w:tcPr>
          <w:p w:rsidR="00B81D97" w:rsidRPr="00B81D97" w:rsidRDefault="00B81D97" w:rsidP="00B81D97">
            <w:pPr>
              <w:spacing w:after="0" w:line="240" w:lineRule="auto"/>
              <w:jc w:val="center"/>
              <w:rPr>
                <w:rFonts w:ascii="Arial" w:eastAsia="Times New Roman" w:hAnsi="Arial" w:cs="Arial"/>
                <w:b/>
                <w:bCs/>
                <w:color w:val="FFFFFF"/>
                <w:sz w:val="18"/>
                <w:szCs w:val="18"/>
              </w:rPr>
            </w:pPr>
            <w:r w:rsidRPr="00B81D97">
              <w:rPr>
                <w:rFonts w:ascii="Arial" w:eastAsia="Times New Roman" w:hAnsi="Arial" w:cs="Arial"/>
                <w:b/>
                <w:bCs/>
                <w:color w:val="FFFFFF"/>
                <w:sz w:val="18"/>
                <w:szCs w:val="18"/>
              </w:rPr>
              <w:t>Expected Avg. Load Impact</w:t>
            </w:r>
          </w:p>
        </w:tc>
        <w:tc>
          <w:tcPr>
            <w:tcW w:w="5775" w:type="dxa"/>
            <w:gridSpan w:val="5"/>
            <w:tcBorders>
              <w:top w:val="single" w:sz="4" w:space="0" w:color="1F497D"/>
              <w:left w:val="nil"/>
              <w:bottom w:val="single" w:sz="4" w:space="0" w:color="FFFFFF"/>
              <w:right w:val="single" w:sz="4" w:space="0" w:color="1F497D"/>
            </w:tcBorders>
            <w:shd w:val="clear" w:color="000000" w:fill="1F497D"/>
            <w:vAlign w:val="center"/>
            <w:hideMark/>
          </w:tcPr>
          <w:p w:rsidR="00B81D97" w:rsidRPr="00B81D97" w:rsidRDefault="00B81D97" w:rsidP="00B81D97">
            <w:pPr>
              <w:spacing w:after="0" w:line="240" w:lineRule="auto"/>
              <w:jc w:val="center"/>
              <w:rPr>
                <w:rFonts w:ascii="Arial" w:eastAsia="Times New Roman" w:hAnsi="Arial" w:cs="Arial"/>
                <w:b/>
                <w:bCs/>
                <w:color w:val="FFFFFF"/>
                <w:sz w:val="18"/>
                <w:szCs w:val="18"/>
              </w:rPr>
            </w:pPr>
            <w:r w:rsidRPr="00B81D97">
              <w:rPr>
                <w:rFonts w:ascii="Arial" w:eastAsia="Times New Roman" w:hAnsi="Arial" w:cs="Arial"/>
                <w:b/>
                <w:bCs/>
                <w:color w:val="FFFFFF"/>
                <w:sz w:val="18"/>
                <w:szCs w:val="18"/>
              </w:rPr>
              <w:t>Impact Uncertainty</w:t>
            </w:r>
          </w:p>
        </w:tc>
      </w:tr>
      <w:tr w:rsidR="00B81D97" w:rsidRPr="00B81D97" w:rsidTr="00B81D97">
        <w:trPr>
          <w:trHeight w:val="300"/>
        </w:trPr>
        <w:tc>
          <w:tcPr>
            <w:tcW w:w="1154" w:type="dxa"/>
            <w:vMerge/>
            <w:tcBorders>
              <w:top w:val="single" w:sz="4" w:space="0" w:color="1F497D"/>
              <w:left w:val="single" w:sz="4" w:space="0" w:color="1F497D"/>
              <w:bottom w:val="single" w:sz="4" w:space="0" w:color="FFFFFF"/>
              <w:right w:val="single" w:sz="4" w:space="0" w:color="FFFFFF"/>
            </w:tcBorders>
            <w:vAlign w:val="center"/>
            <w:hideMark/>
          </w:tcPr>
          <w:p w:rsidR="00B81D97" w:rsidRPr="00B81D97" w:rsidRDefault="00B81D97" w:rsidP="00B81D97">
            <w:pPr>
              <w:spacing w:after="0" w:line="240" w:lineRule="auto"/>
              <w:rPr>
                <w:rFonts w:ascii="Arial" w:eastAsia="Times New Roman" w:hAnsi="Arial" w:cs="Arial"/>
                <w:b/>
                <w:bCs/>
                <w:color w:val="FFFFFF"/>
                <w:sz w:val="18"/>
                <w:szCs w:val="18"/>
              </w:rPr>
            </w:pPr>
          </w:p>
        </w:tc>
        <w:tc>
          <w:tcPr>
            <w:tcW w:w="1155" w:type="dxa"/>
            <w:vMerge/>
            <w:tcBorders>
              <w:top w:val="single" w:sz="4" w:space="0" w:color="1F497D"/>
              <w:left w:val="single" w:sz="4" w:space="0" w:color="FFFFFF"/>
              <w:bottom w:val="single" w:sz="4" w:space="0" w:color="FFFFFF"/>
              <w:right w:val="single" w:sz="4" w:space="0" w:color="FFFFFF"/>
            </w:tcBorders>
            <w:vAlign w:val="center"/>
            <w:hideMark/>
          </w:tcPr>
          <w:p w:rsidR="00B81D97" w:rsidRPr="00B81D97" w:rsidRDefault="00B81D97" w:rsidP="00B81D97">
            <w:pPr>
              <w:spacing w:after="0" w:line="240" w:lineRule="auto"/>
              <w:rPr>
                <w:rFonts w:ascii="Arial" w:eastAsia="Times New Roman" w:hAnsi="Arial" w:cs="Arial"/>
                <w:b/>
                <w:bCs/>
                <w:color w:val="FFFFFF"/>
                <w:sz w:val="18"/>
                <w:szCs w:val="18"/>
              </w:rPr>
            </w:pPr>
          </w:p>
        </w:tc>
        <w:tc>
          <w:tcPr>
            <w:tcW w:w="1492" w:type="dxa"/>
            <w:tcBorders>
              <w:top w:val="single" w:sz="4" w:space="0" w:color="95B3D7"/>
              <w:left w:val="single" w:sz="4" w:space="0" w:color="95B3D7"/>
              <w:bottom w:val="nil"/>
              <w:right w:val="single" w:sz="4" w:space="0" w:color="95B3D7"/>
            </w:tcBorders>
            <w:shd w:val="clear" w:color="000000" w:fill="1F497D"/>
            <w:vAlign w:val="center"/>
            <w:hideMark/>
          </w:tcPr>
          <w:p w:rsidR="00B81D97" w:rsidRPr="00B81D97" w:rsidRDefault="00B81D97" w:rsidP="007E27F3">
            <w:pPr>
              <w:spacing w:after="0" w:line="240" w:lineRule="auto"/>
              <w:jc w:val="center"/>
              <w:rPr>
                <w:rFonts w:ascii="Arial" w:eastAsia="Times New Roman" w:hAnsi="Arial" w:cs="Arial"/>
                <w:b/>
                <w:bCs/>
                <w:color w:val="FFFFFF"/>
                <w:sz w:val="18"/>
                <w:szCs w:val="18"/>
              </w:rPr>
            </w:pPr>
            <w:r w:rsidRPr="00B81D97">
              <w:rPr>
                <w:rFonts w:ascii="Arial" w:eastAsia="Times New Roman" w:hAnsi="Arial" w:cs="Arial"/>
                <w:b/>
                <w:bCs/>
                <w:color w:val="FFFFFF"/>
                <w:sz w:val="18"/>
                <w:szCs w:val="18"/>
              </w:rPr>
              <w:t>MW  1</w:t>
            </w:r>
            <w:r w:rsidR="00502446">
              <w:rPr>
                <w:rFonts w:ascii="Arial" w:eastAsia="Times New Roman" w:hAnsi="Arial" w:cs="Arial"/>
                <w:b/>
                <w:bCs/>
                <w:color w:val="FFFFFF"/>
                <w:sz w:val="18"/>
                <w:szCs w:val="18"/>
              </w:rPr>
              <w:t>–</w:t>
            </w:r>
            <w:r w:rsidRPr="00B81D97">
              <w:rPr>
                <w:rFonts w:ascii="Arial" w:eastAsia="Times New Roman" w:hAnsi="Arial" w:cs="Arial"/>
                <w:b/>
                <w:bCs/>
                <w:color w:val="FFFFFF"/>
                <w:sz w:val="18"/>
                <w:szCs w:val="18"/>
              </w:rPr>
              <w:t xml:space="preserve">6 </w:t>
            </w:r>
            <w:r w:rsidR="007E27F3">
              <w:rPr>
                <w:rFonts w:ascii="Arial" w:eastAsia="Times New Roman" w:hAnsi="Arial" w:cs="Arial"/>
                <w:b/>
                <w:bCs/>
                <w:color w:val="FFFFFF"/>
                <w:sz w:val="18"/>
                <w:szCs w:val="18"/>
              </w:rPr>
              <w:t>PM</w:t>
            </w:r>
          </w:p>
        </w:tc>
        <w:tc>
          <w:tcPr>
            <w:tcW w:w="1155" w:type="dxa"/>
            <w:tcBorders>
              <w:top w:val="nil"/>
              <w:left w:val="single" w:sz="4" w:space="0" w:color="FFFFFF"/>
              <w:bottom w:val="nil"/>
              <w:right w:val="single" w:sz="4" w:space="0" w:color="FFFFFF"/>
            </w:tcBorders>
            <w:shd w:val="clear" w:color="000000" w:fill="1F497D"/>
            <w:vAlign w:val="center"/>
            <w:hideMark/>
          </w:tcPr>
          <w:p w:rsidR="00B81D97" w:rsidRPr="00B81D97" w:rsidRDefault="00B81D97" w:rsidP="007E27F3">
            <w:pPr>
              <w:spacing w:after="0" w:line="240" w:lineRule="auto"/>
              <w:jc w:val="center"/>
              <w:rPr>
                <w:rFonts w:ascii="Arial" w:eastAsia="Times New Roman" w:hAnsi="Arial" w:cs="Arial"/>
                <w:b/>
                <w:bCs/>
                <w:color w:val="FFFFFF"/>
                <w:sz w:val="18"/>
                <w:szCs w:val="18"/>
              </w:rPr>
            </w:pPr>
            <w:r w:rsidRPr="00B81D97">
              <w:rPr>
                <w:rFonts w:ascii="Arial" w:eastAsia="Times New Roman" w:hAnsi="Arial" w:cs="Arial"/>
                <w:b/>
                <w:bCs/>
                <w:color w:val="FFFFFF"/>
                <w:sz w:val="18"/>
                <w:szCs w:val="18"/>
              </w:rPr>
              <w:t>10</w:t>
            </w:r>
            <w:r w:rsidR="007E27F3" w:rsidRPr="00506B7C">
              <w:rPr>
                <w:rFonts w:ascii="Arial" w:eastAsia="Times New Roman" w:hAnsi="Arial" w:cs="Arial"/>
                <w:b/>
                <w:bCs/>
                <w:color w:val="FFFFFF"/>
                <w:sz w:val="18"/>
                <w:szCs w:val="18"/>
                <w:vertAlign w:val="superscript"/>
              </w:rPr>
              <w:t>th</w:t>
            </w:r>
          </w:p>
        </w:tc>
        <w:tc>
          <w:tcPr>
            <w:tcW w:w="1155" w:type="dxa"/>
            <w:tcBorders>
              <w:top w:val="nil"/>
              <w:left w:val="nil"/>
              <w:bottom w:val="nil"/>
              <w:right w:val="single" w:sz="4" w:space="0" w:color="FFFFFF"/>
            </w:tcBorders>
            <w:shd w:val="clear" w:color="000000" w:fill="1F497D"/>
            <w:vAlign w:val="center"/>
            <w:hideMark/>
          </w:tcPr>
          <w:p w:rsidR="00B81D97" w:rsidRPr="00B81D97" w:rsidRDefault="007E27F3" w:rsidP="007E27F3">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30</w:t>
            </w:r>
            <w:r w:rsidRPr="00506B7C">
              <w:rPr>
                <w:rFonts w:ascii="Arial" w:eastAsia="Times New Roman" w:hAnsi="Arial" w:cs="Arial"/>
                <w:b/>
                <w:bCs/>
                <w:color w:val="FFFFFF"/>
                <w:sz w:val="18"/>
                <w:szCs w:val="18"/>
                <w:vertAlign w:val="superscript"/>
              </w:rPr>
              <w:t>th</w:t>
            </w:r>
          </w:p>
        </w:tc>
        <w:tc>
          <w:tcPr>
            <w:tcW w:w="1155" w:type="dxa"/>
            <w:tcBorders>
              <w:top w:val="nil"/>
              <w:left w:val="nil"/>
              <w:bottom w:val="nil"/>
              <w:right w:val="single" w:sz="4" w:space="0" w:color="FFFFFF"/>
            </w:tcBorders>
            <w:shd w:val="clear" w:color="000000" w:fill="1F497D"/>
            <w:vAlign w:val="center"/>
            <w:hideMark/>
          </w:tcPr>
          <w:p w:rsidR="00B81D97" w:rsidRPr="00B81D97" w:rsidRDefault="00B81D97" w:rsidP="007E27F3">
            <w:pPr>
              <w:spacing w:after="0" w:line="240" w:lineRule="auto"/>
              <w:jc w:val="center"/>
              <w:rPr>
                <w:rFonts w:ascii="Arial" w:eastAsia="Times New Roman" w:hAnsi="Arial" w:cs="Arial"/>
                <w:b/>
                <w:bCs/>
                <w:color w:val="FFFFFF"/>
                <w:sz w:val="18"/>
                <w:szCs w:val="18"/>
              </w:rPr>
            </w:pPr>
            <w:r w:rsidRPr="00B81D97">
              <w:rPr>
                <w:rFonts w:ascii="Arial" w:eastAsia="Times New Roman" w:hAnsi="Arial" w:cs="Arial"/>
                <w:b/>
                <w:bCs/>
                <w:color w:val="FFFFFF"/>
                <w:sz w:val="18"/>
                <w:szCs w:val="18"/>
              </w:rPr>
              <w:t>50</w:t>
            </w:r>
            <w:r w:rsidR="007E27F3" w:rsidRPr="00506B7C">
              <w:rPr>
                <w:rFonts w:ascii="Arial" w:eastAsia="Times New Roman" w:hAnsi="Arial" w:cs="Arial"/>
                <w:b/>
                <w:bCs/>
                <w:color w:val="FFFFFF"/>
                <w:sz w:val="18"/>
                <w:szCs w:val="18"/>
                <w:vertAlign w:val="superscript"/>
              </w:rPr>
              <w:t>th</w:t>
            </w:r>
          </w:p>
        </w:tc>
        <w:tc>
          <w:tcPr>
            <w:tcW w:w="1155" w:type="dxa"/>
            <w:tcBorders>
              <w:top w:val="nil"/>
              <w:left w:val="nil"/>
              <w:bottom w:val="nil"/>
              <w:right w:val="single" w:sz="4" w:space="0" w:color="FFFFFF"/>
            </w:tcBorders>
            <w:shd w:val="clear" w:color="000000" w:fill="1F497D"/>
            <w:vAlign w:val="center"/>
            <w:hideMark/>
          </w:tcPr>
          <w:p w:rsidR="00B81D97" w:rsidRPr="00B81D97" w:rsidRDefault="007E27F3" w:rsidP="007E27F3">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70</w:t>
            </w:r>
            <w:r w:rsidRPr="00506B7C">
              <w:rPr>
                <w:rFonts w:ascii="Arial" w:eastAsia="Times New Roman" w:hAnsi="Arial" w:cs="Arial"/>
                <w:b/>
                <w:bCs/>
                <w:color w:val="FFFFFF"/>
                <w:sz w:val="18"/>
                <w:szCs w:val="18"/>
                <w:vertAlign w:val="superscript"/>
              </w:rPr>
              <w:t>th</w:t>
            </w:r>
          </w:p>
        </w:tc>
        <w:tc>
          <w:tcPr>
            <w:tcW w:w="1155" w:type="dxa"/>
            <w:tcBorders>
              <w:top w:val="nil"/>
              <w:left w:val="nil"/>
              <w:bottom w:val="nil"/>
              <w:right w:val="single" w:sz="4" w:space="0" w:color="1F497D"/>
            </w:tcBorders>
            <w:shd w:val="clear" w:color="000000" w:fill="1F497D"/>
            <w:vAlign w:val="center"/>
            <w:hideMark/>
          </w:tcPr>
          <w:p w:rsidR="00B81D97" w:rsidRPr="00B81D97" w:rsidRDefault="007E27F3" w:rsidP="007E27F3">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90</w:t>
            </w:r>
            <w:r w:rsidRPr="00506B7C">
              <w:rPr>
                <w:rFonts w:ascii="Arial" w:eastAsia="Times New Roman" w:hAnsi="Arial" w:cs="Arial"/>
                <w:b/>
                <w:bCs/>
                <w:color w:val="FFFFFF"/>
                <w:sz w:val="18"/>
                <w:szCs w:val="18"/>
                <w:vertAlign w:val="superscript"/>
              </w:rPr>
              <w:t>th</w:t>
            </w:r>
          </w:p>
        </w:tc>
      </w:tr>
      <w:tr w:rsidR="00B81D97" w:rsidRPr="00B81D97" w:rsidTr="00B81D97">
        <w:trPr>
          <w:trHeight w:val="360"/>
        </w:trPr>
        <w:tc>
          <w:tcPr>
            <w:tcW w:w="11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1-in-10 August System Peak Day</w:t>
            </w:r>
          </w:p>
        </w:tc>
        <w:tc>
          <w:tcPr>
            <w:tcW w:w="1155" w:type="dxa"/>
            <w:tcBorders>
              <w:top w:val="single" w:sz="4" w:space="0" w:color="auto"/>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2012</w:t>
            </w:r>
          </w:p>
        </w:tc>
        <w:tc>
          <w:tcPr>
            <w:tcW w:w="1492" w:type="dxa"/>
            <w:tcBorders>
              <w:top w:val="single" w:sz="4" w:space="0" w:color="auto"/>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33.4</w:t>
            </w:r>
          </w:p>
        </w:tc>
        <w:tc>
          <w:tcPr>
            <w:tcW w:w="1155" w:type="dxa"/>
            <w:tcBorders>
              <w:top w:val="single" w:sz="4" w:space="0" w:color="auto"/>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29.0</w:t>
            </w:r>
          </w:p>
        </w:tc>
        <w:tc>
          <w:tcPr>
            <w:tcW w:w="1155" w:type="dxa"/>
            <w:tcBorders>
              <w:top w:val="single" w:sz="4" w:space="0" w:color="auto"/>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31.6</w:t>
            </w:r>
          </w:p>
        </w:tc>
        <w:tc>
          <w:tcPr>
            <w:tcW w:w="1155" w:type="dxa"/>
            <w:tcBorders>
              <w:top w:val="single" w:sz="4" w:space="0" w:color="auto"/>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33.4</w:t>
            </w:r>
          </w:p>
        </w:tc>
        <w:tc>
          <w:tcPr>
            <w:tcW w:w="1155" w:type="dxa"/>
            <w:tcBorders>
              <w:top w:val="single" w:sz="4" w:space="0" w:color="auto"/>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35.2</w:t>
            </w:r>
          </w:p>
        </w:tc>
        <w:tc>
          <w:tcPr>
            <w:tcW w:w="1155" w:type="dxa"/>
            <w:tcBorders>
              <w:top w:val="single" w:sz="4" w:space="0" w:color="auto"/>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37.8</w:t>
            </w:r>
          </w:p>
        </w:tc>
      </w:tr>
      <w:tr w:rsidR="00B81D97" w:rsidRPr="00B81D97" w:rsidTr="00B81D97">
        <w:trPr>
          <w:trHeight w:val="360"/>
        </w:trPr>
        <w:tc>
          <w:tcPr>
            <w:tcW w:w="115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2013</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35.7</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31.0</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33.8</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35.7</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37.7</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40.5</w:t>
            </w:r>
          </w:p>
        </w:tc>
      </w:tr>
      <w:tr w:rsidR="00B81D97" w:rsidRPr="00B81D97" w:rsidTr="00B81D97">
        <w:trPr>
          <w:trHeight w:val="360"/>
        </w:trPr>
        <w:tc>
          <w:tcPr>
            <w:tcW w:w="115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2014</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38.1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41.7</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46.6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r>
      <w:tr w:rsidR="00B81D97" w:rsidRPr="00B81D97" w:rsidTr="00B81D97">
        <w:trPr>
          <w:trHeight w:val="360"/>
        </w:trPr>
        <w:tc>
          <w:tcPr>
            <w:tcW w:w="115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2015</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38.4</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42.1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50.7</w:t>
            </w:r>
          </w:p>
        </w:tc>
      </w:tr>
      <w:tr w:rsidR="00B81D97" w:rsidRPr="00B81D97" w:rsidTr="00B81D97">
        <w:trPr>
          <w:trHeight w:val="360"/>
        </w:trPr>
        <w:tc>
          <w:tcPr>
            <w:tcW w:w="115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2016</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38.4</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42.1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50.7</w:t>
            </w:r>
          </w:p>
        </w:tc>
      </w:tr>
      <w:tr w:rsidR="00B81D97" w:rsidRPr="00B81D97" w:rsidTr="00B81D97">
        <w:trPr>
          <w:trHeight w:val="360"/>
        </w:trPr>
        <w:tc>
          <w:tcPr>
            <w:tcW w:w="115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2017</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38.4</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42.1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50.7</w:t>
            </w:r>
          </w:p>
        </w:tc>
      </w:tr>
      <w:tr w:rsidR="00B81D97" w:rsidRPr="00B81D97" w:rsidTr="00B81D97">
        <w:trPr>
          <w:trHeight w:val="360"/>
        </w:trPr>
        <w:tc>
          <w:tcPr>
            <w:tcW w:w="115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2018</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38.4</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42.1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50.7</w:t>
            </w:r>
          </w:p>
        </w:tc>
      </w:tr>
      <w:tr w:rsidR="00B81D97" w:rsidRPr="00B81D97" w:rsidTr="00B81D97">
        <w:trPr>
          <w:trHeight w:val="360"/>
        </w:trPr>
        <w:tc>
          <w:tcPr>
            <w:tcW w:w="115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2019</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38.4</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42.1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50.7</w:t>
            </w:r>
          </w:p>
        </w:tc>
      </w:tr>
      <w:tr w:rsidR="00B81D97" w:rsidRPr="00B81D97" w:rsidTr="00B81D97">
        <w:trPr>
          <w:trHeight w:val="360"/>
        </w:trPr>
        <w:tc>
          <w:tcPr>
            <w:tcW w:w="115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2020</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38.4</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42.1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50.7</w:t>
            </w:r>
          </w:p>
        </w:tc>
      </w:tr>
      <w:tr w:rsidR="00B81D97" w:rsidRPr="00B81D97" w:rsidTr="00B81D97">
        <w:trPr>
          <w:trHeight w:val="360"/>
        </w:trPr>
        <w:tc>
          <w:tcPr>
            <w:tcW w:w="115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2021</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38.4</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42.1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50.7</w:t>
            </w:r>
          </w:p>
        </w:tc>
      </w:tr>
      <w:tr w:rsidR="00B81D97" w:rsidRPr="00B81D97" w:rsidTr="00B81D97">
        <w:trPr>
          <w:trHeight w:val="360"/>
        </w:trPr>
        <w:tc>
          <w:tcPr>
            <w:tcW w:w="115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2022</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38.4</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42.1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50.7</w:t>
            </w:r>
          </w:p>
        </w:tc>
      </w:tr>
      <w:tr w:rsidR="00B81D97" w:rsidRPr="00B81D97" w:rsidTr="00B81D97">
        <w:trPr>
          <w:trHeight w:val="360"/>
        </w:trPr>
        <w:tc>
          <w:tcPr>
            <w:tcW w:w="1154" w:type="dxa"/>
            <w:vMerge/>
            <w:tcBorders>
              <w:top w:val="single" w:sz="4" w:space="0" w:color="auto"/>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2023</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38.4</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42.1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44.6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50.7</w:t>
            </w:r>
          </w:p>
        </w:tc>
      </w:tr>
      <w:tr w:rsidR="00B81D97" w:rsidRPr="00B81D97" w:rsidTr="00B81D97">
        <w:trPr>
          <w:trHeight w:val="360"/>
        </w:trPr>
        <w:tc>
          <w:tcPr>
            <w:tcW w:w="1154" w:type="dxa"/>
            <w:vMerge w:val="restart"/>
            <w:tcBorders>
              <w:top w:val="nil"/>
              <w:left w:val="single" w:sz="4" w:space="0" w:color="auto"/>
              <w:bottom w:val="single" w:sz="4" w:space="0" w:color="auto"/>
              <w:right w:val="single" w:sz="4" w:space="0" w:color="auto"/>
            </w:tcBorders>
            <w:shd w:val="clear" w:color="auto" w:fill="auto"/>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1-in-2 August System Peak Day</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2012</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37.9</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33.1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35.9</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37.9</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39.9</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42.7</w:t>
            </w:r>
          </w:p>
        </w:tc>
      </w:tr>
      <w:tr w:rsidR="00B81D97" w:rsidRPr="00B81D97" w:rsidTr="00B81D97">
        <w:trPr>
          <w:trHeight w:val="360"/>
        </w:trPr>
        <w:tc>
          <w:tcPr>
            <w:tcW w:w="115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2013</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40.1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35.0</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38.0</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40.1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42.2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45.2</w:t>
            </w:r>
          </w:p>
        </w:tc>
      </w:tr>
      <w:tr w:rsidR="00B81D97" w:rsidRPr="00B81D97" w:rsidTr="00B81D97">
        <w:trPr>
          <w:trHeight w:val="360"/>
        </w:trPr>
        <w:tc>
          <w:tcPr>
            <w:tcW w:w="115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2014</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49.7</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43.1</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47.0</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49.7</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52.3</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56.2</w:t>
            </w:r>
          </w:p>
        </w:tc>
      </w:tr>
      <w:tr w:rsidR="00B81D97" w:rsidRPr="00B81D97" w:rsidTr="00B81D97">
        <w:trPr>
          <w:trHeight w:val="360"/>
        </w:trPr>
        <w:tc>
          <w:tcPr>
            <w:tcW w:w="115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2015</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43.6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47.5</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52.9</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56.8</w:t>
            </w:r>
          </w:p>
        </w:tc>
      </w:tr>
      <w:tr w:rsidR="00B81D97" w:rsidRPr="00B81D97" w:rsidTr="00B81D97">
        <w:trPr>
          <w:trHeight w:val="360"/>
        </w:trPr>
        <w:tc>
          <w:tcPr>
            <w:tcW w:w="115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2016</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43.6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47.5</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52.9</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56.8</w:t>
            </w:r>
          </w:p>
        </w:tc>
      </w:tr>
      <w:tr w:rsidR="00B81D97" w:rsidRPr="00B81D97" w:rsidTr="00B81D97">
        <w:trPr>
          <w:trHeight w:val="360"/>
        </w:trPr>
        <w:tc>
          <w:tcPr>
            <w:tcW w:w="115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2017</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43.6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47.5</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52.9</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56.8</w:t>
            </w:r>
          </w:p>
        </w:tc>
      </w:tr>
      <w:tr w:rsidR="00B81D97" w:rsidRPr="00B81D97" w:rsidTr="00B81D97">
        <w:trPr>
          <w:trHeight w:val="360"/>
        </w:trPr>
        <w:tc>
          <w:tcPr>
            <w:tcW w:w="115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2018</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43.6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47.5</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52.9</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56.8</w:t>
            </w:r>
          </w:p>
        </w:tc>
      </w:tr>
      <w:tr w:rsidR="00B81D97" w:rsidRPr="00B81D97" w:rsidTr="00B81D97">
        <w:trPr>
          <w:trHeight w:val="360"/>
        </w:trPr>
        <w:tc>
          <w:tcPr>
            <w:tcW w:w="115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2019</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43.6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47.5</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52.9</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56.8</w:t>
            </w:r>
          </w:p>
        </w:tc>
      </w:tr>
      <w:tr w:rsidR="00B81D97" w:rsidRPr="00B81D97" w:rsidTr="00B81D97">
        <w:trPr>
          <w:trHeight w:val="360"/>
        </w:trPr>
        <w:tc>
          <w:tcPr>
            <w:tcW w:w="115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2020</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43.6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47.5</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52.9</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56.8</w:t>
            </w:r>
          </w:p>
        </w:tc>
      </w:tr>
      <w:tr w:rsidR="00B81D97" w:rsidRPr="00B81D97" w:rsidTr="00B81D97">
        <w:trPr>
          <w:trHeight w:val="360"/>
        </w:trPr>
        <w:tc>
          <w:tcPr>
            <w:tcW w:w="115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2021</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43.6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47.5</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52.9</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56.8</w:t>
            </w:r>
          </w:p>
        </w:tc>
      </w:tr>
      <w:tr w:rsidR="00B81D97" w:rsidRPr="00B81D97" w:rsidTr="00B81D97">
        <w:trPr>
          <w:trHeight w:val="360"/>
        </w:trPr>
        <w:tc>
          <w:tcPr>
            <w:tcW w:w="115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2022</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43.6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47.5</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52.9</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56.8</w:t>
            </w:r>
          </w:p>
        </w:tc>
      </w:tr>
      <w:tr w:rsidR="00B81D97" w:rsidRPr="00B81D97" w:rsidTr="00B81D97">
        <w:trPr>
          <w:trHeight w:val="360"/>
        </w:trPr>
        <w:tc>
          <w:tcPr>
            <w:tcW w:w="1154" w:type="dxa"/>
            <w:vMerge/>
            <w:tcBorders>
              <w:top w:val="nil"/>
              <w:left w:val="single" w:sz="4" w:space="0" w:color="auto"/>
              <w:bottom w:val="single" w:sz="4" w:space="0" w:color="auto"/>
              <w:right w:val="single" w:sz="4" w:space="0" w:color="auto"/>
            </w:tcBorders>
            <w:vAlign w:val="center"/>
            <w:hideMark/>
          </w:tcPr>
          <w:p w:rsidR="00B81D97" w:rsidRPr="00B81D97" w:rsidRDefault="00B81D97" w:rsidP="00B81D97">
            <w:pPr>
              <w:spacing w:after="0" w:line="240" w:lineRule="auto"/>
              <w:rPr>
                <w:rFonts w:ascii="Arial" w:eastAsia="Times New Roman" w:hAnsi="Arial" w:cs="Arial"/>
                <w:color w:val="000000"/>
                <w:sz w:val="18"/>
                <w:szCs w:val="18"/>
              </w:rPr>
            </w:pP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2023</w:t>
            </w:r>
          </w:p>
        </w:tc>
        <w:tc>
          <w:tcPr>
            <w:tcW w:w="1492"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43.6</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47.5</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50.2</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52.9</w:t>
            </w:r>
          </w:p>
        </w:tc>
        <w:tc>
          <w:tcPr>
            <w:tcW w:w="1155" w:type="dxa"/>
            <w:tcBorders>
              <w:top w:val="nil"/>
              <w:left w:val="nil"/>
              <w:bottom w:val="single" w:sz="4" w:space="0" w:color="auto"/>
              <w:right w:val="single" w:sz="4" w:space="0" w:color="auto"/>
            </w:tcBorders>
            <w:shd w:val="clear" w:color="auto" w:fill="auto"/>
            <w:noWrap/>
            <w:vAlign w:val="center"/>
            <w:hideMark/>
          </w:tcPr>
          <w:p w:rsidR="00B81D97" w:rsidRPr="00B81D97" w:rsidRDefault="00B81D97" w:rsidP="00B81D97">
            <w:pPr>
              <w:spacing w:after="0" w:line="240" w:lineRule="auto"/>
              <w:jc w:val="center"/>
              <w:rPr>
                <w:rFonts w:ascii="Arial" w:eastAsia="Times New Roman" w:hAnsi="Arial" w:cs="Arial"/>
                <w:color w:val="000000"/>
                <w:sz w:val="18"/>
                <w:szCs w:val="18"/>
              </w:rPr>
            </w:pPr>
            <w:r w:rsidRPr="00B81D97">
              <w:rPr>
                <w:rFonts w:ascii="Arial" w:eastAsia="Times New Roman" w:hAnsi="Arial" w:cs="Arial"/>
                <w:color w:val="000000"/>
                <w:sz w:val="18"/>
                <w:szCs w:val="18"/>
              </w:rPr>
              <w:t>56.8</w:t>
            </w:r>
          </w:p>
        </w:tc>
      </w:tr>
    </w:tbl>
    <w:p w:rsidR="00B81D97" w:rsidRDefault="00B81D97" w:rsidP="00B81D97">
      <w:pPr>
        <w:pStyle w:val="BodyParaAfterTableFigure"/>
      </w:pPr>
    </w:p>
    <w:p w:rsidR="00EF76C3" w:rsidRPr="00BD1A9D" w:rsidRDefault="00EF76C3" w:rsidP="00EF76C3">
      <w:pPr>
        <w:pStyle w:val="BodyParaAfterTableFigure"/>
      </w:pPr>
    </w:p>
    <w:p w:rsidR="00EF76C3" w:rsidRPr="00E84E74" w:rsidRDefault="00EF76C3" w:rsidP="007E27F3">
      <w:pPr>
        <w:pStyle w:val="Heading3"/>
        <w:rPr>
          <w:rFonts w:cs="Calibri"/>
        </w:rPr>
      </w:pPr>
      <w:bookmarkStart w:id="166" w:name="_Toc289093914"/>
      <w:bookmarkStart w:id="167" w:name="_Toc289094002"/>
      <w:bookmarkStart w:id="168" w:name="_Toc289112739"/>
      <w:bookmarkStart w:id="169" w:name="_Toc289178032"/>
      <w:bookmarkStart w:id="170" w:name="_Toc326072132"/>
      <w:bookmarkStart w:id="171" w:name="_Toc350845368"/>
      <w:bookmarkStart w:id="172" w:name="_Toc352323656"/>
      <w:bookmarkEnd w:id="166"/>
      <w:bookmarkEnd w:id="167"/>
      <w:bookmarkEnd w:id="168"/>
      <w:r>
        <w:lastRenderedPageBreak/>
        <w:t xml:space="preserve">Ex Ante </w:t>
      </w:r>
      <w:r w:rsidRPr="007E27F3">
        <w:t>Impacts</w:t>
      </w:r>
      <w:r>
        <w:t xml:space="preserve"> by Geographic </w:t>
      </w:r>
      <w:r w:rsidRPr="008429AC">
        <w:t>Location</w:t>
      </w:r>
      <w:bookmarkEnd w:id="169"/>
      <w:bookmarkEnd w:id="170"/>
      <w:bookmarkEnd w:id="171"/>
      <w:bookmarkEnd w:id="172"/>
    </w:p>
    <w:p w:rsidR="00EF76C3" w:rsidRDefault="00EF76C3" w:rsidP="007A78AD">
      <w:pPr>
        <w:pStyle w:val="BodyParagraph"/>
      </w:pPr>
      <w:r>
        <w:t>Table 7-4 summarizes per customer ex ante impacts for each LCA by month for large customers, based on current participants.  It shows the per customer impacts for each monthly system peak day</w:t>
      </w:r>
      <w:r w:rsidR="00564E9A">
        <w:t> </w:t>
      </w:r>
      <w:r>
        <w:t xml:space="preserve">under 1-in-2 and 1-in-10 system peaking conditions.  </w:t>
      </w:r>
    </w:p>
    <w:p w:rsidR="00EF76C3" w:rsidRDefault="00EF76C3" w:rsidP="00EF76C3">
      <w:pPr>
        <w:pStyle w:val="TableFigureCaption"/>
      </w:pPr>
      <w:r w:rsidRPr="00A66E76">
        <w:t>Table 7-4:</w:t>
      </w:r>
      <w:r w:rsidR="00626371">
        <w:t xml:space="preserve"> </w:t>
      </w:r>
      <w:r w:rsidRPr="00176610">
        <w:t>201</w:t>
      </w:r>
      <w:r>
        <w:t>3</w:t>
      </w:r>
      <w:r w:rsidRPr="00A66E76">
        <w:t xml:space="preserve"> Per Customer Ex Ante Impacts for Large Customers by Local Capacity Area </w:t>
      </w:r>
      <w:r w:rsidRPr="00A66E76">
        <w:br/>
        <w:t>(</w:t>
      </w:r>
      <w:r>
        <w:t>Hourly Average Reduction in MW Over Event Day Period 1</w:t>
      </w:r>
      <w:r w:rsidR="00502446">
        <w:t>–</w:t>
      </w:r>
      <w:r>
        <w:t>6 PM</w:t>
      </w:r>
      <w:r w:rsidRPr="00A66E76">
        <w:t>)</w:t>
      </w:r>
    </w:p>
    <w:tbl>
      <w:tblPr>
        <w:tblW w:w="5000" w:type="pct"/>
        <w:tblLook w:val="04A0" w:firstRow="1" w:lastRow="0" w:firstColumn="1" w:lastColumn="0" w:noHBand="0" w:noVBand="1"/>
      </w:tblPr>
      <w:tblGrid>
        <w:gridCol w:w="769"/>
        <w:gridCol w:w="1459"/>
        <w:gridCol w:w="600"/>
        <w:gridCol w:w="600"/>
        <w:gridCol w:w="600"/>
        <w:gridCol w:w="600"/>
        <w:gridCol w:w="600"/>
        <w:gridCol w:w="600"/>
        <w:gridCol w:w="600"/>
        <w:gridCol w:w="600"/>
        <w:gridCol w:w="600"/>
        <w:gridCol w:w="600"/>
        <w:gridCol w:w="601"/>
        <w:gridCol w:w="589"/>
      </w:tblGrid>
      <w:tr w:rsidR="007A78AD" w:rsidRPr="007A78AD" w:rsidTr="007E27F3">
        <w:trPr>
          <w:trHeight w:val="705"/>
        </w:trPr>
        <w:tc>
          <w:tcPr>
            <w:tcW w:w="338" w:type="pct"/>
            <w:tcBorders>
              <w:top w:val="single" w:sz="4" w:space="0" w:color="000000"/>
              <w:left w:val="single" w:sz="4" w:space="0" w:color="000000"/>
              <w:bottom w:val="nil"/>
              <w:right w:val="single" w:sz="4" w:space="0" w:color="FFFFFF"/>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bookmarkStart w:id="173" w:name="_Toc289178033"/>
            <w:bookmarkStart w:id="174" w:name="_Toc326072133"/>
            <w:r w:rsidRPr="007A78AD">
              <w:rPr>
                <w:rFonts w:ascii="Arial" w:eastAsia="Times New Roman" w:hAnsi="Arial" w:cs="Arial"/>
                <w:b/>
                <w:bCs/>
                <w:color w:val="FFFFFF"/>
                <w:sz w:val="18"/>
                <w:szCs w:val="18"/>
              </w:rPr>
              <w:t>Weather Year</w:t>
            </w:r>
          </w:p>
        </w:tc>
        <w:tc>
          <w:tcPr>
            <w:tcW w:w="612" w:type="pct"/>
            <w:tcBorders>
              <w:top w:val="single" w:sz="4" w:space="0" w:color="000000"/>
              <w:left w:val="nil"/>
              <w:bottom w:val="single" w:sz="4" w:space="0" w:color="000000"/>
              <w:right w:val="single" w:sz="4" w:space="0" w:color="FFFFFF"/>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Local Capacity Area</w:t>
            </w:r>
          </w:p>
        </w:tc>
        <w:tc>
          <w:tcPr>
            <w:tcW w:w="338" w:type="pct"/>
            <w:tcBorders>
              <w:top w:val="single" w:sz="4" w:space="0" w:color="000000"/>
              <w:left w:val="nil"/>
              <w:bottom w:val="single" w:sz="4" w:space="0" w:color="000000"/>
              <w:right w:val="single" w:sz="4" w:space="0" w:color="FFFFFF"/>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Jan</w:t>
            </w:r>
          </w:p>
        </w:tc>
        <w:tc>
          <w:tcPr>
            <w:tcW w:w="338" w:type="pct"/>
            <w:tcBorders>
              <w:top w:val="single" w:sz="4" w:space="0" w:color="000000"/>
              <w:left w:val="nil"/>
              <w:bottom w:val="single" w:sz="4" w:space="0" w:color="000000"/>
              <w:right w:val="single" w:sz="4" w:space="0" w:color="FFFFFF"/>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Feb</w:t>
            </w:r>
          </w:p>
        </w:tc>
        <w:tc>
          <w:tcPr>
            <w:tcW w:w="338" w:type="pct"/>
            <w:tcBorders>
              <w:top w:val="single" w:sz="4" w:space="0" w:color="000000"/>
              <w:left w:val="nil"/>
              <w:bottom w:val="single" w:sz="4" w:space="0" w:color="000000"/>
              <w:right w:val="single" w:sz="4" w:space="0" w:color="FFFFFF"/>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Mar</w:t>
            </w:r>
          </w:p>
        </w:tc>
        <w:tc>
          <w:tcPr>
            <w:tcW w:w="338" w:type="pct"/>
            <w:tcBorders>
              <w:top w:val="single" w:sz="4" w:space="0" w:color="000000"/>
              <w:left w:val="nil"/>
              <w:bottom w:val="single" w:sz="4" w:space="0" w:color="000000"/>
              <w:right w:val="single" w:sz="4" w:space="0" w:color="FFFFFF"/>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Apr</w:t>
            </w:r>
          </w:p>
        </w:tc>
        <w:tc>
          <w:tcPr>
            <w:tcW w:w="338" w:type="pct"/>
            <w:tcBorders>
              <w:top w:val="single" w:sz="4" w:space="0" w:color="000000"/>
              <w:left w:val="nil"/>
              <w:bottom w:val="single" w:sz="4" w:space="0" w:color="000000"/>
              <w:right w:val="single" w:sz="4" w:space="0" w:color="FFFFFF"/>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May</w:t>
            </w:r>
          </w:p>
        </w:tc>
        <w:tc>
          <w:tcPr>
            <w:tcW w:w="338" w:type="pct"/>
            <w:tcBorders>
              <w:top w:val="single" w:sz="4" w:space="0" w:color="000000"/>
              <w:left w:val="nil"/>
              <w:bottom w:val="single" w:sz="4" w:space="0" w:color="000000"/>
              <w:right w:val="single" w:sz="4" w:space="0" w:color="FFFFFF"/>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Jun</w:t>
            </w:r>
          </w:p>
        </w:tc>
        <w:tc>
          <w:tcPr>
            <w:tcW w:w="338" w:type="pct"/>
            <w:tcBorders>
              <w:top w:val="single" w:sz="4" w:space="0" w:color="000000"/>
              <w:left w:val="nil"/>
              <w:bottom w:val="single" w:sz="4" w:space="0" w:color="000000"/>
              <w:right w:val="single" w:sz="4" w:space="0" w:color="FFFFFF"/>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Jul</w:t>
            </w:r>
          </w:p>
        </w:tc>
        <w:tc>
          <w:tcPr>
            <w:tcW w:w="338" w:type="pct"/>
            <w:tcBorders>
              <w:top w:val="single" w:sz="4" w:space="0" w:color="000000"/>
              <w:left w:val="nil"/>
              <w:bottom w:val="single" w:sz="4" w:space="0" w:color="000000"/>
              <w:right w:val="single" w:sz="4" w:space="0" w:color="FFFFFF"/>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Aug</w:t>
            </w:r>
          </w:p>
        </w:tc>
        <w:tc>
          <w:tcPr>
            <w:tcW w:w="338" w:type="pct"/>
            <w:tcBorders>
              <w:top w:val="single" w:sz="4" w:space="0" w:color="000000"/>
              <w:left w:val="nil"/>
              <w:bottom w:val="single" w:sz="4" w:space="0" w:color="000000"/>
              <w:right w:val="single" w:sz="4" w:space="0" w:color="FFFFFF"/>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Sep</w:t>
            </w:r>
          </w:p>
        </w:tc>
        <w:tc>
          <w:tcPr>
            <w:tcW w:w="338" w:type="pct"/>
            <w:tcBorders>
              <w:top w:val="single" w:sz="4" w:space="0" w:color="000000"/>
              <w:left w:val="nil"/>
              <w:bottom w:val="single" w:sz="4" w:space="0" w:color="000000"/>
              <w:right w:val="single" w:sz="4" w:space="0" w:color="FFFFFF"/>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Oct</w:t>
            </w:r>
          </w:p>
        </w:tc>
        <w:tc>
          <w:tcPr>
            <w:tcW w:w="338" w:type="pct"/>
            <w:tcBorders>
              <w:top w:val="single" w:sz="4" w:space="0" w:color="000000"/>
              <w:left w:val="nil"/>
              <w:bottom w:val="single" w:sz="4" w:space="0" w:color="000000"/>
              <w:right w:val="single" w:sz="4" w:space="0" w:color="FFFFFF"/>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Nov</w:t>
            </w:r>
          </w:p>
        </w:tc>
        <w:tc>
          <w:tcPr>
            <w:tcW w:w="338" w:type="pct"/>
            <w:tcBorders>
              <w:top w:val="single" w:sz="4" w:space="0" w:color="000000"/>
              <w:left w:val="nil"/>
              <w:bottom w:val="single" w:sz="4" w:space="0" w:color="000000"/>
              <w:right w:val="single" w:sz="4" w:space="0" w:color="000000"/>
            </w:tcBorders>
            <w:shd w:val="clear" w:color="000000" w:fill="1F497D" w:themeFill="text2"/>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Dec</w:t>
            </w:r>
          </w:p>
        </w:tc>
      </w:tr>
      <w:tr w:rsidR="007A78AD" w:rsidRPr="007A78AD" w:rsidTr="007A78AD">
        <w:trPr>
          <w:trHeight w:val="402"/>
        </w:trPr>
        <w:tc>
          <w:tcPr>
            <w:tcW w:w="338" w:type="pct"/>
            <w:vMerge w:val="restart"/>
            <w:tcBorders>
              <w:top w:val="single" w:sz="4" w:space="0" w:color="auto"/>
              <w:left w:val="single" w:sz="4" w:space="0" w:color="auto"/>
              <w:bottom w:val="single" w:sz="4" w:space="0" w:color="000000"/>
              <w:right w:val="single" w:sz="4" w:space="0" w:color="auto"/>
            </w:tcBorders>
            <w:shd w:val="clear" w:color="auto" w:fill="auto"/>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1-in-10</w:t>
            </w: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All Customers</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25.5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23.8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24.1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25.8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27.1</w:t>
            </w:r>
          </w:p>
        </w:tc>
      </w:tr>
      <w:tr w:rsidR="007A78AD" w:rsidRPr="007A78AD" w:rsidTr="007A78AD">
        <w:trPr>
          <w:trHeight w:val="402"/>
        </w:trPr>
        <w:tc>
          <w:tcPr>
            <w:tcW w:w="338" w:type="pct"/>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Greater Bay Area</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21.3</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18.1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19.8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21.3</w:t>
            </w:r>
          </w:p>
        </w:tc>
      </w:tr>
      <w:tr w:rsidR="007A78AD" w:rsidRPr="007A78AD" w:rsidTr="007A78AD">
        <w:trPr>
          <w:trHeight w:val="402"/>
        </w:trPr>
        <w:tc>
          <w:tcPr>
            <w:tcW w:w="338" w:type="pct"/>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Greater Fresno</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28.3</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30.7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16.5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12.1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38.9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27.9</w:t>
            </w:r>
          </w:p>
        </w:tc>
      </w:tr>
      <w:tr w:rsidR="007A78AD" w:rsidRPr="007A78AD" w:rsidTr="007A78AD">
        <w:trPr>
          <w:trHeight w:val="402"/>
        </w:trPr>
        <w:tc>
          <w:tcPr>
            <w:tcW w:w="338" w:type="pct"/>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Humboldt</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62.6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61.3</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58.7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60.1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59.0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61.8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58.2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61.7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64.0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62.6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58.9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58.7</w:t>
            </w:r>
          </w:p>
        </w:tc>
      </w:tr>
      <w:tr w:rsidR="007A78AD" w:rsidRPr="007A78AD" w:rsidTr="007A78AD">
        <w:trPr>
          <w:trHeight w:val="402"/>
        </w:trPr>
        <w:tc>
          <w:tcPr>
            <w:tcW w:w="338" w:type="pct"/>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Kern</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72.1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72.1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75.6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72.7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69.9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69.2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65.6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64.9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71.2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71.3</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77.2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75.6</w:t>
            </w:r>
          </w:p>
        </w:tc>
      </w:tr>
      <w:tr w:rsidR="007A78AD" w:rsidRPr="007A78AD" w:rsidTr="007A78AD">
        <w:trPr>
          <w:trHeight w:val="402"/>
        </w:trPr>
        <w:tc>
          <w:tcPr>
            <w:tcW w:w="338" w:type="pct"/>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Northern Coast</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19.0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19.1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18.4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25.0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25.0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23.4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25.1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23.7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18.4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18.6</w:t>
            </w:r>
          </w:p>
        </w:tc>
      </w:tr>
      <w:tr w:rsidR="007A78AD" w:rsidRPr="007A78AD" w:rsidTr="007A78AD">
        <w:trPr>
          <w:trHeight w:val="402"/>
        </w:trPr>
        <w:tc>
          <w:tcPr>
            <w:tcW w:w="338" w:type="pct"/>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Other</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30.5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31.5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31.6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25.9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21.3</w:t>
            </w:r>
          </w:p>
        </w:tc>
      </w:tr>
      <w:tr w:rsidR="007A78AD" w:rsidRPr="007A78AD" w:rsidTr="007A78AD">
        <w:trPr>
          <w:trHeight w:val="402"/>
        </w:trPr>
        <w:tc>
          <w:tcPr>
            <w:tcW w:w="338" w:type="pct"/>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Sierra</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34.1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34.1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34.0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34.9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26.3</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35.6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34.1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34.0</w:t>
            </w:r>
          </w:p>
        </w:tc>
      </w:tr>
      <w:tr w:rsidR="007A78AD" w:rsidRPr="007A78AD" w:rsidTr="007A78AD">
        <w:trPr>
          <w:trHeight w:val="402"/>
        </w:trPr>
        <w:tc>
          <w:tcPr>
            <w:tcW w:w="338" w:type="pct"/>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Stockton</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53.2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53.2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55.5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53.6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35.5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45.2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58.2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55.2</w:t>
            </w:r>
          </w:p>
        </w:tc>
      </w:tr>
      <w:tr w:rsidR="007A78AD" w:rsidRPr="007A78AD" w:rsidTr="007A78AD">
        <w:trPr>
          <w:trHeight w:val="402"/>
        </w:trPr>
        <w:tc>
          <w:tcPr>
            <w:tcW w:w="338" w:type="pct"/>
            <w:vMerge w:val="restart"/>
            <w:tcBorders>
              <w:top w:val="nil"/>
              <w:left w:val="single" w:sz="4" w:space="0" w:color="auto"/>
              <w:bottom w:val="single" w:sz="4" w:space="0" w:color="000000"/>
              <w:right w:val="single" w:sz="4" w:space="0" w:color="auto"/>
            </w:tcBorders>
            <w:shd w:val="clear" w:color="auto" w:fill="auto"/>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1-in-2</w:t>
            </w: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All Customers</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27.3</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24.6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25.6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26.3</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27.8</w:t>
            </w:r>
          </w:p>
        </w:tc>
      </w:tr>
      <w:tr w:rsidR="007A78AD" w:rsidRPr="007A78AD" w:rsidTr="007A78AD">
        <w:trPr>
          <w:trHeight w:val="402"/>
        </w:trPr>
        <w:tc>
          <w:tcPr>
            <w:tcW w:w="338" w:type="pct"/>
            <w:vMerge/>
            <w:tcBorders>
              <w:top w:val="nil"/>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Greater Bay Area</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19.7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18.1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20.8</w:t>
            </w:r>
          </w:p>
        </w:tc>
      </w:tr>
      <w:tr w:rsidR="007A78AD" w:rsidRPr="007A78AD" w:rsidTr="007A78AD">
        <w:trPr>
          <w:trHeight w:val="402"/>
        </w:trPr>
        <w:tc>
          <w:tcPr>
            <w:tcW w:w="338" w:type="pct"/>
            <w:vMerge/>
            <w:tcBorders>
              <w:top w:val="nil"/>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Greater Fresno</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24.6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13.4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15.7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27.8</w:t>
            </w:r>
          </w:p>
        </w:tc>
      </w:tr>
      <w:tr w:rsidR="007A78AD" w:rsidRPr="007A78AD" w:rsidTr="007A78AD">
        <w:trPr>
          <w:trHeight w:val="402"/>
        </w:trPr>
        <w:tc>
          <w:tcPr>
            <w:tcW w:w="338" w:type="pct"/>
            <w:vMerge/>
            <w:tcBorders>
              <w:top w:val="nil"/>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Humboldt</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60.2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58.5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63.8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63.3</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60.6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60.1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60.9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58.8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60.0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57.8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59.1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65.7</w:t>
            </w:r>
          </w:p>
        </w:tc>
      </w:tr>
      <w:tr w:rsidR="007A78AD" w:rsidRPr="007A78AD" w:rsidTr="007A78AD">
        <w:trPr>
          <w:trHeight w:val="402"/>
        </w:trPr>
        <w:tc>
          <w:tcPr>
            <w:tcW w:w="338" w:type="pct"/>
            <w:vMerge/>
            <w:tcBorders>
              <w:top w:val="nil"/>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Kern</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72.5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75.6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72.1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73.4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71.7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70.9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67.6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72.1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70.8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74.7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72.6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72.1</w:t>
            </w:r>
          </w:p>
        </w:tc>
      </w:tr>
      <w:tr w:rsidR="007A78AD" w:rsidRPr="007A78AD" w:rsidTr="007A78AD">
        <w:trPr>
          <w:trHeight w:val="402"/>
        </w:trPr>
        <w:tc>
          <w:tcPr>
            <w:tcW w:w="338" w:type="pct"/>
            <w:vMerge/>
            <w:tcBorders>
              <w:top w:val="nil"/>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Northern Coast</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18.3</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18.5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19.0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20.3</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17.7</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25.4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25.8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23.8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17.5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18.3</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19.1</w:t>
            </w:r>
          </w:p>
        </w:tc>
      </w:tr>
      <w:tr w:rsidR="007A78AD" w:rsidRPr="007A78AD" w:rsidTr="007A78AD">
        <w:trPr>
          <w:trHeight w:val="402"/>
        </w:trPr>
        <w:tc>
          <w:tcPr>
            <w:tcW w:w="338" w:type="pct"/>
            <w:vMerge/>
            <w:tcBorders>
              <w:top w:val="nil"/>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Other</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25.9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28.3</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24.6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25.8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26.6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27.2</w:t>
            </w:r>
          </w:p>
        </w:tc>
      </w:tr>
      <w:tr w:rsidR="007A78AD" w:rsidRPr="007A78AD" w:rsidTr="007A78AD">
        <w:trPr>
          <w:trHeight w:val="402"/>
        </w:trPr>
        <w:tc>
          <w:tcPr>
            <w:tcW w:w="338" w:type="pct"/>
            <w:vMerge/>
            <w:tcBorders>
              <w:top w:val="nil"/>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Sierra</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34.6</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34.0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34.1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34.2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31.5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30.8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16.2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35.0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34.4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34.1</w:t>
            </w:r>
          </w:p>
        </w:tc>
      </w:tr>
      <w:tr w:rsidR="007A78AD" w:rsidRPr="007A78AD" w:rsidTr="007A78AD">
        <w:trPr>
          <w:trHeight w:val="402"/>
        </w:trPr>
        <w:tc>
          <w:tcPr>
            <w:tcW w:w="338" w:type="pct"/>
            <w:vMerge/>
            <w:tcBorders>
              <w:top w:val="nil"/>
              <w:left w:val="single" w:sz="4" w:space="0" w:color="auto"/>
              <w:bottom w:val="single" w:sz="4" w:space="0" w:color="000000"/>
              <w:right w:val="single" w:sz="4" w:space="0" w:color="auto"/>
            </w:tcBorders>
            <w:tcMar>
              <w:left w:w="29" w:type="dxa"/>
              <w:right w:w="29" w:type="dxa"/>
            </w:tcMar>
            <w:vAlign w:val="center"/>
            <w:hideMark/>
          </w:tcPr>
          <w:p w:rsidR="007A78AD" w:rsidRPr="007A78AD" w:rsidRDefault="007A78AD" w:rsidP="007A78AD">
            <w:pPr>
              <w:spacing w:after="0" w:line="240" w:lineRule="auto"/>
              <w:rPr>
                <w:rFonts w:ascii="Arial" w:eastAsia="Times New Roman" w:hAnsi="Arial" w:cs="Arial"/>
                <w:color w:val="000000"/>
                <w:sz w:val="18"/>
                <w:szCs w:val="18"/>
              </w:rPr>
            </w:pPr>
          </w:p>
        </w:tc>
        <w:tc>
          <w:tcPr>
            <w:tcW w:w="612"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Stockton</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58.2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55.2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53.5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35.0</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52.2</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52.4</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31.9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43.1</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45.5</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53.9</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54.8</w:t>
            </w:r>
          </w:p>
        </w:tc>
        <w:tc>
          <w:tcPr>
            <w:tcW w:w="338"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53.2</w:t>
            </w:r>
          </w:p>
        </w:tc>
      </w:tr>
    </w:tbl>
    <w:p w:rsidR="00EF76C3" w:rsidRDefault="00EF76C3" w:rsidP="00EF76C3">
      <w:pPr>
        <w:pStyle w:val="Heading2"/>
        <w:numPr>
          <w:ilvl w:val="0"/>
          <w:numId w:val="0"/>
        </w:numPr>
        <w:ind w:left="540"/>
      </w:pPr>
    </w:p>
    <w:p w:rsidR="007A78AD" w:rsidRDefault="007A78AD" w:rsidP="007A78AD">
      <w:pPr>
        <w:pStyle w:val="BodyParagraph"/>
      </w:pPr>
      <w:r w:rsidRPr="00A66E76">
        <w:t>In aggregate, the load reductions are largest in the Greater Bay Area and Other</w:t>
      </w:r>
      <w:r>
        <w:t xml:space="preserve"> LCAs</w:t>
      </w:r>
      <w:r w:rsidRPr="00A66E76">
        <w:t>.  Based on the</w:t>
      </w:r>
      <w:r w:rsidR="00564E9A">
        <w:t> </w:t>
      </w:r>
      <w:r w:rsidRPr="00A66E76">
        <w:t>201</w:t>
      </w:r>
      <w:r>
        <w:t>2</w:t>
      </w:r>
      <w:r w:rsidRPr="00A66E76">
        <w:t xml:space="preserve"> ex post analysis, almost 50% of customers are in the Greater Bay Area and about 20% are outside of the primary LCAs and classified as Other.  </w:t>
      </w:r>
      <w:r>
        <w:t>C</w:t>
      </w:r>
      <w:r w:rsidRPr="00A66E76">
        <w:t xml:space="preserve">ustomers </w:t>
      </w:r>
      <w:r>
        <w:t>classified as</w:t>
      </w:r>
      <w:r w:rsidRPr="00A66E76">
        <w:t xml:space="preserve"> Other provided 31% of aggregate </w:t>
      </w:r>
      <w:r>
        <w:t xml:space="preserve">ex post </w:t>
      </w:r>
      <w:r w:rsidRPr="00A66E76">
        <w:t>impacts despite only accounting for 20% of the total population.  By comparison, customers in the Greater Bay Area accounted for 35% of aggregate impacts despite representing almost 50% of the accounts</w:t>
      </w:r>
      <w:r>
        <w:t xml:space="preserve">.  </w:t>
      </w:r>
      <w:r w:rsidRPr="00A66E76">
        <w:t xml:space="preserve">Customers </w:t>
      </w:r>
      <w:r>
        <w:t>classified as</w:t>
      </w:r>
      <w:r w:rsidRPr="00A66E76">
        <w:t xml:space="preserve"> Other are </w:t>
      </w:r>
      <w:r>
        <w:t xml:space="preserve">also </w:t>
      </w:r>
      <w:r w:rsidRPr="00A66E76">
        <w:t>larger, on average, than customers in the Greater Bay Area and provide larger per</w:t>
      </w:r>
      <w:r>
        <w:t xml:space="preserve"> </w:t>
      </w:r>
      <w:r w:rsidRPr="00A66E76">
        <w:t>customer impacts.</w:t>
      </w:r>
      <w:r>
        <w:t xml:space="preserve"> </w:t>
      </w:r>
    </w:p>
    <w:p w:rsidR="00EF76C3" w:rsidRDefault="00EF76C3" w:rsidP="007E27F3">
      <w:pPr>
        <w:pStyle w:val="Heading2"/>
      </w:pPr>
      <w:bookmarkStart w:id="175" w:name="_Toc350845369"/>
      <w:bookmarkStart w:id="176" w:name="_Toc352323657"/>
      <w:r w:rsidRPr="007E27F3">
        <w:lastRenderedPageBreak/>
        <w:t>Medium</w:t>
      </w:r>
      <w:r>
        <w:t xml:space="preserve"> C&amp;I Ex Ante Impacts</w:t>
      </w:r>
      <w:bookmarkEnd w:id="173"/>
      <w:bookmarkEnd w:id="174"/>
      <w:bookmarkEnd w:id="175"/>
      <w:bookmarkEnd w:id="176"/>
    </w:p>
    <w:p w:rsidR="00EF76C3" w:rsidRDefault="00EF76C3" w:rsidP="00041269">
      <w:pPr>
        <w:pStyle w:val="BodyParagraph"/>
        <w:tabs>
          <w:tab w:val="left" w:pos="4590"/>
        </w:tabs>
      </w:pPr>
      <w:r>
        <w:t xml:space="preserve">Overall, there is </w:t>
      </w:r>
      <w:r w:rsidR="00965107">
        <w:t>greater uncertainty</w:t>
      </w:r>
      <w:r>
        <w:t xml:space="preserve"> regarding medium customer impacts under default CPP.  To date,</w:t>
      </w:r>
      <w:r w:rsidR="002F60B8">
        <w:t> </w:t>
      </w:r>
      <w:r>
        <w:t>relatively few PG&amp;E medium customers are enrolled on CPP and because only customers with maximum demand over 200 kW are defaulted, the voluntary medium customers are not necessarily representative of the medium customer population segment as a whole.  To obtain a larger and more diverse sample, customers from the large category wit</w:t>
      </w:r>
      <w:r w:rsidR="00434545">
        <w:t>h average hourly demands below 2</w:t>
      </w:r>
      <w:r>
        <w:t>00 kW, were used as a proxy for medium customers.  The results were weighted to account for differences in industry mix and/or geographic location and scaled based on usage.  Table 7-5 gives an overview of the weighting process.  It shows the percent of the sample and population by industry segment and region.  The table also shows the population average kW divided by the sample average kW by strata.  Actual medium customers from the PG&amp;E population are substantially smaller than the proxy medium customers.  There are also non-trivial differences in the share of customers by industry and region between the sample and population.</w:t>
      </w:r>
    </w:p>
    <w:p w:rsidR="00965107" w:rsidRDefault="00EF76C3" w:rsidP="00041269">
      <w:pPr>
        <w:pStyle w:val="TableFigureCaption"/>
      </w:pPr>
      <w:r>
        <w:t>Table 7-5</w:t>
      </w:r>
      <w:r w:rsidRPr="00A66E76">
        <w:t>:</w:t>
      </w:r>
      <w:r w:rsidR="00626371">
        <w:t xml:space="preserve"> </w:t>
      </w:r>
      <w:r>
        <w:t>Development of Weights for Proxy Medium Customers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5"/>
        <w:gridCol w:w="3062"/>
        <w:gridCol w:w="1161"/>
        <w:gridCol w:w="728"/>
        <w:gridCol w:w="1146"/>
        <w:gridCol w:w="827"/>
        <w:gridCol w:w="1197"/>
      </w:tblGrid>
      <w:tr w:rsidR="00041269" w:rsidRPr="007A78AD" w:rsidTr="00A907B2">
        <w:trPr>
          <w:trHeight w:val="720"/>
        </w:trPr>
        <w:tc>
          <w:tcPr>
            <w:tcW w:w="760" w:type="pct"/>
            <w:vMerge w:val="restart"/>
            <w:tcBorders>
              <w:right w:val="single" w:sz="4" w:space="0" w:color="FFFFFF" w:themeColor="background1"/>
            </w:tcBorders>
            <w:shd w:val="clear" w:color="000000" w:fill="366092"/>
            <w:noWrap/>
            <w:vAlign w:val="center"/>
            <w:hideMark/>
          </w:tcPr>
          <w:p w:rsidR="00041269" w:rsidRPr="00A907B2" w:rsidRDefault="00041269" w:rsidP="007E27F3">
            <w:pPr>
              <w:pStyle w:val="TableHeader"/>
              <w:rPr>
                <w:sz w:val="18"/>
                <w:szCs w:val="18"/>
              </w:rPr>
            </w:pPr>
            <w:r w:rsidRPr="00A907B2">
              <w:rPr>
                <w:sz w:val="18"/>
                <w:szCs w:val="18"/>
              </w:rPr>
              <w:t>Category</w:t>
            </w:r>
          </w:p>
        </w:tc>
        <w:tc>
          <w:tcPr>
            <w:tcW w:w="1599" w:type="pct"/>
            <w:vMerge w:val="restart"/>
            <w:tcBorders>
              <w:left w:val="single" w:sz="4" w:space="0" w:color="FFFFFF" w:themeColor="background1"/>
              <w:right w:val="single" w:sz="4" w:space="0" w:color="FFFFFF" w:themeColor="background1"/>
            </w:tcBorders>
            <w:shd w:val="clear" w:color="000000" w:fill="366092"/>
            <w:vAlign w:val="center"/>
            <w:hideMark/>
          </w:tcPr>
          <w:p w:rsidR="00041269" w:rsidRPr="00A907B2" w:rsidRDefault="00041269" w:rsidP="007E27F3">
            <w:pPr>
              <w:pStyle w:val="TableHeader"/>
              <w:rPr>
                <w:sz w:val="18"/>
                <w:szCs w:val="18"/>
              </w:rPr>
            </w:pPr>
            <w:r w:rsidRPr="00A907B2">
              <w:rPr>
                <w:sz w:val="18"/>
                <w:szCs w:val="18"/>
              </w:rPr>
              <w:t>Industry</w:t>
            </w:r>
          </w:p>
        </w:tc>
        <w:tc>
          <w:tcPr>
            <w:tcW w:w="606" w:type="pct"/>
            <w:vMerge w:val="restart"/>
            <w:tcBorders>
              <w:left w:val="single" w:sz="4" w:space="0" w:color="FFFFFF" w:themeColor="background1"/>
              <w:right w:val="single" w:sz="4" w:space="0" w:color="FFFFFF" w:themeColor="background1"/>
            </w:tcBorders>
            <w:shd w:val="clear" w:color="000000" w:fill="366092"/>
            <w:vAlign w:val="center"/>
            <w:hideMark/>
          </w:tcPr>
          <w:p w:rsidR="00041269" w:rsidRPr="00A907B2" w:rsidRDefault="00041269" w:rsidP="007E27F3">
            <w:pPr>
              <w:pStyle w:val="TableHeader"/>
              <w:rPr>
                <w:sz w:val="18"/>
                <w:szCs w:val="18"/>
              </w:rPr>
            </w:pPr>
            <w:r w:rsidRPr="00A907B2">
              <w:rPr>
                <w:sz w:val="18"/>
                <w:szCs w:val="18"/>
              </w:rPr>
              <w:t>Medium Proxy Accts</w:t>
            </w:r>
          </w:p>
        </w:tc>
        <w:tc>
          <w:tcPr>
            <w:tcW w:w="380" w:type="pct"/>
            <w:vMerge w:val="restart"/>
            <w:tcBorders>
              <w:left w:val="single" w:sz="4" w:space="0" w:color="FFFFFF" w:themeColor="background1"/>
              <w:right w:val="single" w:sz="4" w:space="0" w:color="FFFFFF" w:themeColor="background1"/>
            </w:tcBorders>
            <w:shd w:val="clear" w:color="000000" w:fill="366092"/>
            <w:vAlign w:val="center"/>
            <w:hideMark/>
          </w:tcPr>
          <w:p w:rsidR="00041269" w:rsidRPr="00A907B2" w:rsidRDefault="00041269" w:rsidP="007E27F3">
            <w:pPr>
              <w:pStyle w:val="TableHeader"/>
              <w:rPr>
                <w:sz w:val="18"/>
                <w:szCs w:val="18"/>
              </w:rPr>
            </w:pPr>
            <w:r w:rsidRPr="00A907B2">
              <w:rPr>
                <w:sz w:val="18"/>
                <w:szCs w:val="18"/>
              </w:rPr>
              <w:t>%</w:t>
            </w:r>
          </w:p>
        </w:tc>
        <w:tc>
          <w:tcPr>
            <w:tcW w:w="598" w:type="pct"/>
            <w:vMerge w:val="restart"/>
            <w:tcBorders>
              <w:left w:val="single" w:sz="4" w:space="0" w:color="FFFFFF" w:themeColor="background1"/>
              <w:right w:val="single" w:sz="4" w:space="0" w:color="FFFFFF" w:themeColor="background1"/>
            </w:tcBorders>
            <w:shd w:val="clear" w:color="000000" w:fill="366092"/>
            <w:vAlign w:val="center"/>
            <w:hideMark/>
          </w:tcPr>
          <w:p w:rsidR="00041269" w:rsidRPr="00A907B2" w:rsidRDefault="00041269" w:rsidP="007E27F3">
            <w:pPr>
              <w:pStyle w:val="TableHeader"/>
              <w:rPr>
                <w:sz w:val="18"/>
                <w:szCs w:val="18"/>
              </w:rPr>
            </w:pPr>
            <w:r w:rsidRPr="00A907B2">
              <w:rPr>
                <w:sz w:val="18"/>
                <w:szCs w:val="18"/>
              </w:rPr>
              <w:t>Medium Population</w:t>
            </w:r>
          </w:p>
        </w:tc>
        <w:tc>
          <w:tcPr>
            <w:tcW w:w="432" w:type="pct"/>
            <w:vMerge w:val="restart"/>
            <w:tcBorders>
              <w:left w:val="single" w:sz="4" w:space="0" w:color="FFFFFF" w:themeColor="background1"/>
              <w:right w:val="single" w:sz="4" w:space="0" w:color="FFFFFF" w:themeColor="background1"/>
            </w:tcBorders>
            <w:shd w:val="clear" w:color="000000" w:fill="366092"/>
            <w:vAlign w:val="center"/>
            <w:hideMark/>
          </w:tcPr>
          <w:p w:rsidR="00041269" w:rsidRPr="00A907B2" w:rsidRDefault="00041269" w:rsidP="007E27F3">
            <w:pPr>
              <w:pStyle w:val="TableHeader"/>
              <w:rPr>
                <w:sz w:val="18"/>
                <w:szCs w:val="18"/>
              </w:rPr>
            </w:pPr>
            <w:r w:rsidRPr="00A907B2">
              <w:rPr>
                <w:sz w:val="18"/>
                <w:szCs w:val="18"/>
              </w:rPr>
              <w:t>%</w:t>
            </w:r>
          </w:p>
        </w:tc>
        <w:tc>
          <w:tcPr>
            <w:tcW w:w="625" w:type="pct"/>
            <w:tcBorders>
              <w:left w:val="single" w:sz="4" w:space="0" w:color="FFFFFF" w:themeColor="background1"/>
              <w:bottom w:val="single" w:sz="4" w:space="0" w:color="FFFFFF" w:themeColor="background1"/>
            </w:tcBorders>
            <w:shd w:val="clear" w:color="000000" w:fill="366092"/>
            <w:vAlign w:val="center"/>
            <w:hideMark/>
          </w:tcPr>
          <w:p w:rsidR="00041269" w:rsidRPr="00A907B2" w:rsidRDefault="00041269" w:rsidP="007E27F3">
            <w:pPr>
              <w:pStyle w:val="TableHeader"/>
              <w:rPr>
                <w:sz w:val="18"/>
                <w:szCs w:val="18"/>
              </w:rPr>
            </w:pPr>
            <w:r w:rsidRPr="00A907B2">
              <w:rPr>
                <w:sz w:val="18"/>
                <w:szCs w:val="18"/>
              </w:rPr>
              <w:t>Medium Proxy % Reductions</w:t>
            </w:r>
          </w:p>
        </w:tc>
      </w:tr>
      <w:tr w:rsidR="00041269" w:rsidRPr="007A78AD" w:rsidTr="00A907B2">
        <w:trPr>
          <w:trHeight w:val="315"/>
        </w:trPr>
        <w:tc>
          <w:tcPr>
            <w:tcW w:w="760" w:type="pct"/>
            <w:vMerge/>
            <w:tcBorders>
              <w:right w:val="single" w:sz="4" w:space="0" w:color="FFFFFF" w:themeColor="background1"/>
            </w:tcBorders>
            <w:vAlign w:val="center"/>
            <w:hideMark/>
          </w:tcPr>
          <w:p w:rsidR="00041269" w:rsidRPr="00A907B2" w:rsidRDefault="00041269" w:rsidP="007E27F3">
            <w:pPr>
              <w:pStyle w:val="TableHeader"/>
              <w:rPr>
                <w:sz w:val="18"/>
                <w:szCs w:val="18"/>
              </w:rPr>
            </w:pPr>
          </w:p>
        </w:tc>
        <w:tc>
          <w:tcPr>
            <w:tcW w:w="1599" w:type="pct"/>
            <w:vMerge/>
            <w:tcBorders>
              <w:left w:val="single" w:sz="4" w:space="0" w:color="FFFFFF" w:themeColor="background1"/>
              <w:right w:val="single" w:sz="4" w:space="0" w:color="FFFFFF" w:themeColor="background1"/>
            </w:tcBorders>
            <w:vAlign w:val="center"/>
            <w:hideMark/>
          </w:tcPr>
          <w:p w:rsidR="00041269" w:rsidRPr="00A907B2" w:rsidRDefault="00041269" w:rsidP="007E27F3">
            <w:pPr>
              <w:pStyle w:val="TableHeader"/>
              <w:rPr>
                <w:sz w:val="18"/>
                <w:szCs w:val="18"/>
              </w:rPr>
            </w:pPr>
          </w:p>
        </w:tc>
        <w:tc>
          <w:tcPr>
            <w:tcW w:w="606" w:type="pct"/>
            <w:vMerge/>
            <w:tcBorders>
              <w:left w:val="single" w:sz="4" w:space="0" w:color="FFFFFF" w:themeColor="background1"/>
              <w:right w:val="single" w:sz="4" w:space="0" w:color="FFFFFF" w:themeColor="background1"/>
            </w:tcBorders>
            <w:vAlign w:val="center"/>
            <w:hideMark/>
          </w:tcPr>
          <w:p w:rsidR="00041269" w:rsidRPr="00A907B2" w:rsidRDefault="00041269" w:rsidP="007E27F3">
            <w:pPr>
              <w:pStyle w:val="TableHeader"/>
              <w:rPr>
                <w:sz w:val="18"/>
                <w:szCs w:val="18"/>
              </w:rPr>
            </w:pPr>
          </w:p>
        </w:tc>
        <w:tc>
          <w:tcPr>
            <w:tcW w:w="380" w:type="pct"/>
            <w:vMerge/>
            <w:tcBorders>
              <w:left w:val="single" w:sz="4" w:space="0" w:color="FFFFFF" w:themeColor="background1"/>
              <w:right w:val="single" w:sz="4" w:space="0" w:color="FFFFFF" w:themeColor="background1"/>
            </w:tcBorders>
            <w:vAlign w:val="center"/>
            <w:hideMark/>
          </w:tcPr>
          <w:p w:rsidR="00041269" w:rsidRPr="00A907B2" w:rsidRDefault="00041269" w:rsidP="007E27F3">
            <w:pPr>
              <w:pStyle w:val="TableHeader"/>
              <w:rPr>
                <w:sz w:val="18"/>
                <w:szCs w:val="18"/>
              </w:rPr>
            </w:pPr>
          </w:p>
        </w:tc>
        <w:tc>
          <w:tcPr>
            <w:tcW w:w="598" w:type="pct"/>
            <w:vMerge/>
            <w:tcBorders>
              <w:left w:val="single" w:sz="4" w:space="0" w:color="FFFFFF" w:themeColor="background1"/>
              <w:right w:val="single" w:sz="4" w:space="0" w:color="FFFFFF" w:themeColor="background1"/>
            </w:tcBorders>
            <w:vAlign w:val="center"/>
            <w:hideMark/>
          </w:tcPr>
          <w:p w:rsidR="00041269" w:rsidRPr="00A907B2" w:rsidRDefault="00041269" w:rsidP="007E27F3">
            <w:pPr>
              <w:pStyle w:val="TableHeader"/>
              <w:rPr>
                <w:sz w:val="18"/>
                <w:szCs w:val="18"/>
              </w:rPr>
            </w:pPr>
          </w:p>
        </w:tc>
        <w:tc>
          <w:tcPr>
            <w:tcW w:w="432" w:type="pct"/>
            <w:vMerge/>
            <w:tcBorders>
              <w:left w:val="single" w:sz="4" w:space="0" w:color="FFFFFF" w:themeColor="background1"/>
              <w:right w:val="single" w:sz="4" w:space="0" w:color="FFFFFF" w:themeColor="background1"/>
            </w:tcBorders>
            <w:vAlign w:val="center"/>
            <w:hideMark/>
          </w:tcPr>
          <w:p w:rsidR="00041269" w:rsidRPr="00A907B2" w:rsidRDefault="00041269" w:rsidP="007E27F3">
            <w:pPr>
              <w:pStyle w:val="TableHeader"/>
              <w:rPr>
                <w:sz w:val="18"/>
                <w:szCs w:val="18"/>
              </w:rPr>
            </w:pPr>
          </w:p>
        </w:tc>
        <w:tc>
          <w:tcPr>
            <w:tcW w:w="625" w:type="pct"/>
            <w:tcBorders>
              <w:top w:val="single" w:sz="4" w:space="0" w:color="FFFFFF" w:themeColor="background1"/>
              <w:left w:val="single" w:sz="4" w:space="0" w:color="FFFFFF" w:themeColor="background1"/>
            </w:tcBorders>
            <w:shd w:val="clear" w:color="000000" w:fill="366092"/>
            <w:vAlign w:val="center"/>
            <w:hideMark/>
          </w:tcPr>
          <w:p w:rsidR="00041269" w:rsidRPr="00A907B2" w:rsidRDefault="00041269" w:rsidP="007E27F3">
            <w:pPr>
              <w:pStyle w:val="TableHeader"/>
              <w:rPr>
                <w:sz w:val="18"/>
                <w:szCs w:val="18"/>
              </w:rPr>
            </w:pPr>
            <w:r w:rsidRPr="00A907B2">
              <w:rPr>
                <w:sz w:val="18"/>
                <w:szCs w:val="18"/>
              </w:rPr>
              <w:t>Aug. 1-in-2</w:t>
            </w:r>
          </w:p>
        </w:tc>
      </w:tr>
      <w:tr w:rsidR="00041269" w:rsidRPr="007A78AD" w:rsidTr="00A907B2">
        <w:trPr>
          <w:trHeight w:val="315"/>
        </w:trPr>
        <w:tc>
          <w:tcPr>
            <w:tcW w:w="760" w:type="pct"/>
            <w:vMerge w:val="restart"/>
            <w:shd w:val="clear" w:color="auto" w:fill="auto"/>
            <w:vAlign w:val="center"/>
            <w:hideMark/>
          </w:tcPr>
          <w:p w:rsidR="00041269" w:rsidRPr="007A78AD" w:rsidRDefault="00041269" w:rsidP="007E27F3">
            <w:pPr>
              <w:pStyle w:val="TableText"/>
            </w:pPr>
            <w:r w:rsidRPr="007A78AD">
              <w:t xml:space="preserve">Industrial </w:t>
            </w:r>
          </w:p>
        </w:tc>
        <w:tc>
          <w:tcPr>
            <w:tcW w:w="1599" w:type="pct"/>
            <w:shd w:val="clear" w:color="auto" w:fill="auto"/>
            <w:noWrap/>
            <w:vAlign w:val="center"/>
            <w:hideMark/>
          </w:tcPr>
          <w:p w:rsidR="00041269" w:rsidRPr="007A78AD" w:rsidRDefault="00041269" w:rsidP="007E27F3">
            <w:pPr>
              <w:pStyle w:val="TableText"/>
            </w:pPr>
            <w:r w:rsidRPr="007A78AD">
              <w:t>Agriculture, Mining &amp; Construction</w:t>
            </w:r>
          </w:p>
        </w:tc>
        <w:tc>
          <w:tcPr>
            <w:tcW w:w="606" w:type="pct"/>
            <w:shd w:val="clear" w:color="auto" w:fill="auto"/>
            <w:noWrap/>
            <w:vAlign w:val="center"/>
            <w:hideMark/>
          </w:tcPr>
          <w:p w:rsidR="00041269" w:rsidRPr="007A78AD" w:rsidRDefault="00041269" w:rsidP="007E27F3">
            <w:pPr>
              <w:pStyle w:val="TableText"/>
            </w:pPr>
            <w:r w:rsidRPr="007A78AD">
              <w:t>103</w:t>
            </w:r>
          </w:p>
        </w:tc>
        <w:tc>
          <w:tcPr>
            <w:tcW w:w="380" w:type="pct"/>
            <w:shd w:val="clear" w:color="auto" w:fill="auto"/>
            <w:noWrap/>
            <w:vAlign w:val="center"/>
            <w:hideMark/>
          </w:tcPr>
          <w:p w:rsidR="00041269" w:rsidRPr="007A78AD" w:rsidRDefault="00041269" w:rsidP="007E27F3">
            <w:pPr>
              <w:pStyle w:val="TableText"/>
            </w:pPr>
            <w:r w:rsidRPr="007A78AD">
              <w:t>8.4%</w:t>
            </w:r>
          </w:p>
        </w:tc>
        <w:tc>
          <w:tcPr>
            <w:tcW w:w="598" w:type="pct"/>
            <w:shd w:val="clear" w:color="auto" w:fill="auto"/>
            <w:noWrap/>
            <w:vAlign w:val="center"/>
            <w:hideMark/>
          </w:tcPr>
          <w:p w:rsidR="00041269" w:rsidRPr="007A78AD" w:rsidRDefault="00041269" w:rsidP="007E27F3">
            <w:pPr>
              <w:pStyle w:val="TableText"/>
            </w:pPr>
            <w:r w:rsidRPr="007A78AD">
              <w:t>1,608</w:t>
            </w:r>
          </w:p>
        </w:tc>
        <w:tc>
          <w:tcPr>
            <w:tcW w:w="432" w:type="pct"/>
            <w:shd w:val="clear" w:color="auto" w:fill="auto"/>
            <w:noWrap/>
            <w:vAlign w:val="center"/>
            <w:hideMark/>
          </w:tcPr>
          <w:p w:rsidR="00041269" w:rsidRPr="007A78AD" w:rsidRDefault="00041269" w:rsidP="007E27F3">
            <w:pPr>
              <w:pStyle w:val="TableText"/>
            </w:pPr>
            <w:r w:rsidRPr="007A78AD">
              <w:t>2.28%</w:t>
            </w:r>
          </w:p>
        </w:tc>
        <w:tc>
          <w:tcPr>
            <w:tcW w:w="625" w:type="pct"/>
            <w:shd w:val="clear" w:color="auto" w:fill="auto"/>
            <w:noWrap/>
            <w:vAlign w:val="center"/>
            <w:hideMark/>
          </w:tcPr>
          <w:p w:rsidR="00041269" w:rsidRPr="007A78AD" w:rsidRDefault="00041269" w:rsidP="007E27F3">
            <w:pPr>
              <w:pStyle w:val="TableText"/>
            </w:pPr>
            <w:r w:rsidRPr="007A78AD">
              <w:t>21.9%</w:t>
            </w:r>
          </w:p>
        </w:tc>
      </w:tr>
      <w:tr w:rsidR="00041269" w:rsidRPr="007A78AD" w:rsidTr="00A907B2">
        <w:trPr>
          <w:trHeight w:val="315"/>
        </w:trPr>
        <w:tc>
          <w:tcPr>
            <w:tcW w:w="760" w:type="pct"/>
            <w:vMerge/>
            <w:vAlign w:val="center"/>
            <w:hideMark/>
          </w:tcPr>
          <w:p w:rsidR="00041269" w:rsidRPr="007A78AD" w:rsidRDefault="00041269" w:rsidP="007E27F3">
            <w:pPr>
              <w:pStyle w:val="TableText"/>
            </w:pPr>
          </w:p>
        </w:tc>
        <w:tc>
          <w:tcPr>
            <w:tcW w:w="1599" w:type="pct"/>
            <w:shd w:val="clear" w:color="auto" w:fill="auto"/>
            <w:noWrap/>
            <w:vAlign w:val="center"/>
            <w:hideMark/>
          </w:tcPr>
          <w:p w:rsidR="00041269" w:rsidRPr="007A78AD" w:rsidRDefault="00041269" w:rsidP="007E27F3">
            <w:pPr>
              <w:pStyle w:val="TableText"/>
            </w:pPr>
            <w:r w:rsidRPr="007A78AD">
              <w:t>Manufacturing</w:t>
            </w:r>
          </w:p>
        </w:tc>
        <w:tc>
          <w:tcPr>
            <w:tcW w:w="606" w:type="pct"/>
            <w:shd w:val="clear" w:color="auto" w:fill="auto"/>
            <w:noWrap/>
            <w:vAlign w:val="center"/>
            <w:hideMark/>
          </w:tcPr>
          <w:p w:rsidR="00041269" w:rsidRPr="007A78AD" w:rsidRDefault="00041269" w:rsidP="007E27F3">
            <w:pPr>
              <w:pStyle w:val="TableText"/>
            </w:pPr>
            <w:r w:rsidRPr="007A78AD">
              <w:t>206</w:t>
            </w:r>
          </w:p>
        </w:tc>
        <w:tc>
          <w:tcPr>
            <w:tcW w:w="380" w:type="pct"/>
            <w:shd w:val="clear" w:color="auto" w:fill="auto"/>
            <w:noWrap/>
            <w:vAlign w:val="center"/>
            <w:hideMark/>
          </w:tcPr>
          <w:p w:rsidR="00041269" w:rsidRPr="007A78AD" w:rsidRDefault="00041269" w:rsidP="007E27F3">
            <w:pPr>
              <w:pStyle w:val="TableText"/>
            </w:pPr>
            <w:r w:rsidRPr="007A78AD">
              <w:t>16.7%</w:t>
            </w:r>
          </w:p>
        </w:tc>
        <w:tc>
          <w:tcPr>
            <w:tcW w:w="598" w:type="pct"/>
            <w:shd w:val="clear" w:color="auto" w:fill="auto"/>
            <w:noWrap/>
            <w:vAlign w:val="center"/>
            <w:hideMark/>
          </w:tcPr>
          <w:p w:rsidR="00041269" w:rsidRPr="007A78AD" w:rsidRDefault="00041269" w:rsidP="007E27F3">
            <w:pPr>
              <w:pStyle w:val="TableText"/>
            </w:pPr>
            <w:r w:rsidRPr="007A78AD">
              <w:t>4,859</w:t>
            </w:r>
          </w:p>
        </w:tc>
        <w:tc>
          <w:tcPr>
            <w:tcW w:w="432" w:type="pct"/>
            <w:shd w:val="clear" w:color="auto" w:fill="auto"/>
            <w:noWrap/>
            <w:vAlign w:val="center"/>
            <w:hideMark/>
          </w:tcPr>
          <w:p w:rsidR="00041269" w:rsidRPr="007A78AD" w:rsidRDefault="00041269" w:rsidP="007E27F3">
            <w:pPr>
              <w:pStyle w:val="TableText"/>
            </w:pPr>
            <w:r w:rsidRPr="007A78AD">
              <w:t>6.90%</w:t>
            </w:r>
          </w:p>
        </w:tc>
        <w:tc>
          <w:tcPr>
            <w:tcW w:w="625" w:type="pct"/>
            <w:shd w:val="clear" w:color="auto" w:fill="auto"/>
            <w:noWrap/>
            <w:vAlign w:val="center"/>
            <w:hideMark/>
          </w:tcPr>
          <w:p w:rsidR="00041269" w:rsidRPr="007A78AD" w:rsidRDefault="00041269" w:rsidP="007E27F3">
            <w:pPr>
              <w:pStyle w:val="TableText"/>
            </w:pPr>
            <w:r w:rsidRPr="007A78AD">
              <w:t>13.3%</w:t>
            </w:r>
          </w:p>
        </w:tc>
      </w:tr>
      <w:tr w:rsidR="00041269" w:rsidRPr="007A78AD" w:rsidTr="00A907B2">
        <w:trPr>
          <w:trHeight w:val="315"/>
        </w:trPr>
        <w:tc>
          <w:tcPr>
            <w:tcW w:w="760" w:type="pct"/>
            <w:vMerge/>
            <w:vAlign w:val="center"/>
            <w:hideMark/>
          </w:tcPr>
          <w:p w:rsidR="00041269" w:rsidRPr="007A78AD" w:rsidRDefault="00041269" w:rsidP="007E27F3">
            <w:pPr>
              <w:pStyle w:val="TableText"/>
            </w:pPr>
          </w:p>
        </w:tc>
        <w:tc>
          <w:tcPr>
            <w:tcW w:w="1599" w:type="pct"/>
            <w:shd w:val="clear" w:color="auto" w:fill="auto"/>
            <w:noWrap/>
            <w:vAlign w:val="center"/>
            <w:hideMark/>
          </w:tcPr>
          <w:p w:rsidR="00041269" w:rsidRPr="007A78AD" w:rsidRDefault="00041269" w:rsidP="007E27F3">
            <w:pPr>
              <w:pStyle w:val="TableText"/>
            </w:pPr>
            <w:r w:rsidRPr="007A78AD">
              <w:t>Wholesale</w:t>
            </w:r>
            <w:r w:rsidR="002F60B8">
              <w:t>,</w:t>
            </w:r>
            <w:r w:rsidRPr="007A78AD">
              <w:t xml:space="preserve"> Transport</w:t>
            </w:r>
            <w:r w:rsidR="002F60B8">
              <w:t xml:space="preserve"> &amp; </w:t>
            </w:r>
            <w:r w:rsidR="002F60B8">
              <w:br/>
              <w:t>Other Utilities</w:t>
            </w:r>
          </w:p>
        </w:tc>
        <w:tc>
          <w:tcPr>
            <w:tcW w:w="606" w:type="pct"/>
            <w:shd w:val="clear" w:color="auto" w:fill="auto"/>
            <w:noWrap/>
            <w:vAlign w:val="center"/>
            <w:hideMark/>
          </w:tcPr>
          <w:p w:rsidR="00041269" w:rsidRPr="007A78AD" w:rsidRDefault="00041269" w:rsidP="007E27F3">
            <w:pPr>
              <w:pStyle w:val="TableText"/>
            </w:pPr>
            <w:r w:rsidRPr="007A78AD">
              <w:t>165</w:t>
            </w:r>
          </w:p>
        </w:tc>
        <w:tc>
          <w:tcPr>
            <w:tcW w:w="380" w:type="pct"/>
            <w:shd w:val="clear" w:color="auto" w:fill="auto"/>
            <w:noWrap/>
            <w:vAlign w:val="center"/>
            <w:hideMark/>
          </w:tcPr>
          <w:p w:rsidR="00041269" w:rsidRPr="007A78AD" w:rsidRDefault="00041269" w:rsidP="007E27F3">
            <w:pPr>
              <w:pStyle w:val="TableText"/>
            </w:pPr>
            <w:r w:rsidRPr="007A78AD">
              <w:t>13.4%</w:t>
            </w:r>
          </w:p>
        </w:tc>
        <w:tc>
          <w:tcPr>
            <w:tcW w:w="598" w:type="pct"/>
            <w:shd w:val="clear" w:color="auto" w:fill="auto"/>
            <w:noWrap/>
            <w:vAlign w:val="center"/>
            <w:hideMark/>
          </w:tcPr>
          <w:p w:rsidR="00041269" w:rsidRPr="007A78AD" w:rsidRDefault="00041269" w:rsidP="007E27F3">
            <w:pPr>
              <w:pStyle w:val="TableText"/>
            </w:pPr>
            <w:r w:rsidRPr="007A78AD">
              <w:t>7,168</w:t>
            </w:r>
          </w:p>
        </w:tc>
        <w:tc>
          <w:tcPr>
            <w:tcW w:w="432" w:type="pct"/>
            <w:shd w:val="clear" w:color="auto" w:fill="auto"/>
            <w:noWrap/>
            <w:vAlign w:val="center"/>
            <w:hideMark/>
          </w:tcPr>
          <w:p w:rsidR="00041269" w:rsidRPr="007A78AD" w:rsidRDefault="00041269" w:rsidP="007E27F3">
            <w:pPr>
              <w:pStyle w:val="TableText"/>
            </w:pPr>
            <w:r w:rsidRPr="007A78AD">
              <w:t>10.18%</w:t>
            </w:r>
          </w:p>
        </w:tc>
        <w:tc>
          <w:tcPr>
            <w:tcW w:w="625" w:type="pct"/>
            <w:shd w:val="clear" w:color="auto" w:fill="auto"/>
            <w:noWrap/>
            <w:vAlign w:val="center"/>
            <w:hideMark/>
          </w:tcPr>
          <w:p w:rsidR="00041269" w:rsidRPr="007A78AD" w:rsidRDefault="00041269" w:rsidP="007E27F3">
            <w:pPr>
              <w:pStyle w:val="TableText"/>
            </w:pPr>
            <w:r w:rsidRPr="007A78AD">
              <w:t>14.4%</w:t>
            </w:r>
          </w:p>
        </w:tc>
      </w:tr>
      <w:tr w:rsidR="00041269" w:rsidRPr="007A78AD" w:rsidTr="00A907B2">
        <w:trPr>
          <w:trHeight w:val="315"/>
        </w:trPr>
        <w:tc>
          <w:tcPr>
            <w:tcW w:w="760" w:type="pct"/>
            <w:vMerge/>
            <w:vAlign w:val="center"/>
            <w:hideMark/>
          </w:tcPr>
          <w:p w:rsidR="00041269" w:rsidRPr="007A78AD" w:rsidRDefault="00041269" w:rsidP="007E27F3">
            <w:pPr>
              <w:pStyle w:val="TableText"/>
            </w:pPr>
          </w:p>
        </w:tc>
        <w:tc>
          <w:tcPr>
            <w:tcW w:w="1599" w:type="pct"/>
            <w:shd w:val="clear" w:color="auto" w:fill="auto"/>
            <w:noWrap/>
            <w:vAlign w:val="center"/>
            <w:hideMark/>
          </w:tcPr>
          <w:p w:rsidR="00041269" w:rsidRPr="007A78AD" w:rsidRDefault="00041269" w:rsidP="007E27F3">
            <w:pPr>
              <w:pStyle w:val="TableText"/>
            </w:pPr>
            <w:r w:rsidRPr="007A78AD">
              <w:t>Other or Unknown</w:t>
            </w:r>
          </w:p>
        </w:tc>
        <w:tc>
          <w:tcPr>
            <w:tcW w:w="606" w:type="pct"/>
            <w:shd w:val="clear" w:color="auto" w:fill="auto"/>
            <w:noWrap/>
            <w:vAlign w:val="center"/>
            <w:hideMark/>
          </w:tcPr>
          <w:p w:rsidR="00041269" w:rsidRPr="007A78AD" w:rsidRDefault="00041269" w:rsidP="007E27F3">
            <w:pPr>
              <w:pStyle w:val="TableText"/>
            </w:pPr>
            <w:r w:rsidRPr="007A78AD">
              <w:t>46</w:t>
            </w:r>
          </w:p>
        </w:tc>
        <w:tc>
          <w:tcPr>
            <w:tcW w:w="380" w:type="pct"/>
            <w:shd w:val="clear" w:color="auto" w:fill="auto"/>
            <w:noWrap/>
            <w:vAlign w:val="center"/>
            <w:hideMark/>
          </w:tcPr>
          <w:p w:rsidR="00041269" w:rsidRPr="007A78AD" w:rsidRDefault="00041269" w:rsidP="007E27F3">
            <w:pPr>
              <w:pStyle w:val="TableText"/>
            </w:pPr>
            <w:r w:rsidRPr="007A78AD">
              <w:t>3.7%</w:t>
            </w:r>
          </w:p>
        </w:tc>
        <w:tc>
          <w:tcPr>
            <w:tcW w:w="598" w:type="pct"/>
            <w:shd w:val="clear" w:color="auto" w:fill="auto"/>
            <w:noWrap/>
            <w:vAlign w:val="center"/>
            <w:hideMark/>
          </w:tcPr>
          <w:p w:rsidR="00041269" w:rsidRPr="007A78AD" w:rsidRDefault="00041269" w:rsidP="007E27F3">
            <w:pPr>
              <w:pStyle w:val="TableText"/>
            </w:pPr>
            <w:r w:rsidRPr="007A78AD">
              <w:t>5,287</w:t>
            </w:r>
          </w:p>
        </w:tc>
        <w:tc>
          <w:tcPr>
            <w:tcW w:w="432" w:type="pct"/>
            <w:shd w:val="clear" w:color="auto" w:fill="auto"/>
            <w:noWrap/>
            <w:vAlign w:val="center"/>
            <w:hideMark/>
          </w:tcPr>
          <w:p w:rsidR="00041269" w:rsidRPr="007A78AD" w:rsidRDefault="00041269" w:rsidP="007E27F3">
            <w:pPr>
              <w:pStyle w:val="TableText"/>
            </w:pPr>
            <w:r w:rsidRPr="007A78AD">
              <w:t>7.51%</w:t>
            </w:r>
          </w:p>
        </w:tc>
        <w:tc>
          <w:tcPr>
            <w:tcW w:w="625" w:type="pct"/>
            <w:shd w:val="clear" w:color="auto" w:fill="auto"/>
            <w:noWrap/>
            <w:vAlign w:val="center"/>
            <w:hideMark/>
          </w:tcPr>
          <w:p w:rsidR="00041269" w:rsidRPr="007A78AD" w:rsidRDefault="00041269" w:rsidP="007E27F3">
            <w:pPr>
              <w:pStyle w:val="TableText"/>
            </w:pPr>
            <w:r w:rsidRPr="007A78AD">
              <w:t>16.4%</w:t>
            </w:r>
          </w:p>
        </w:tc>
      </w:tr>
      <w:tr w:rsidR="00041269" w:rsidRPr="007A78AD" w:rsidTr="00A907B2">
        <w:trPr>
          <w:trHeight w:val="315"/>
        </w:trPr>
        <w:tc>
          <w:tcPr>
            <w:tcW w:w="760" w:type="pct"/>
            <w:vMerge w:val="restart"/>
            <w:shd w:val="clear" w:color="auto" w:fill="auto"/>
            <w:vAlign w:val="center"/>
            <w:hideMark/>
          </w:tcPr>
          <w:p w:rsidR="00041269" w:rsidRPr="007A78AD" w:rsidRDefault="00041269" w:rsidP="007E27F3">
            <w:pPr>
              <w:pStyle w:val="TableText"/>
            </w:pPr>
            <w:r w:rsidRPr="007A78AD">
              <w:t>Commercial</w:t>
            </w:r>
          </w:p>
        </w:tc>
        <w:tc>
          <w:tcPr>
            <w:tcW w:w="1599" w:type="pct"/>
            <w:shd w:val="clear" w:color="auto" w:fill="auto"/>
            <w:noWrap/>
            <w:vAlign w:val="center"/>
            <w:hideMark/>
          </w:tcPr>
          <w:p w:rsidR="00041269" w:rsidRPr="007A78AD" w:rsidRDefault="00041269" w:rsidP="007E27F3">
            <w:pPr>
              <w:pStyle w:val="TableText"/>
            </w:pPr>
            <w:r w:rsidRPr="007A78AD">
              <w:t>Retail Stores</w:t>
            </w:r>
          </w:p>
        </w:tc>
        <w:tc>
          <w:tcPr>
            <w:tcW w:w="606" w:type="pct"/>
            <w:shd w:val="clear" w:color="auto" w:fill="auto"/>
            <w:noWrap/>
            <w:vAlign w:val="center"/>
            <w:hideMark/>
          </w:tcPr>
          <w:p w:rsidR="00041269" w:rsidRPr="007A78AD" w:rsidRDefault="00041269" w:rsidP="007E27F3">
            <w:pPr>
              <w:pStyle w:val="TableText"/>
            </w:pPr>
            <w:r w:rsidRPr="007A78AD">
              <w:t>58</w:t>
            </w:r>
          </w:p>
        </w:tc>
        <w:tc>
          <w:tcPr>
            <w:tcW w:w="380" w:type="pct"/>
            <w:shd w:val="clear" w:color="auto" w:fill="auto"/>
            <w:noWrap/>
            <w:vAlign w:val="center"/>
            <w:hideMark/>
          </w:tcPr>
          <w:p w:rsidR="00041269" w:rsidRPr="007A78AD" w:rsidRDefault="00041269" w:rsidP="007E27F3">
            <w:pPr>
              <w:pStyle w:val="TableText"/>
            </w:pPr>
            <w:r w:rsidRPr="007A78AD">
              <w:t>4.7%</w:t>
            </w:r>
          </w:p>
        </w:tc>
        <w:tc>
          <w:tcPr>
            <w:tcW w:w="598" w:type="pct"/>
            <w:shd w:val="clear" w:color="auto" w:fill="auto"/>
            <w:noWrap/>
            <w:vAlign w:val="center"/>
            <w:hideMark/>
          </w:tcPr>
          <w:p w:rsidR="00041269" w:rsidRPr="007A78AD" w:rsidRDefault="00041269" w:rsidP="007E27F3">
            <w:pPr>
              <w:pStyle w:val="TableText"/>
            </w:pPr>
            <w:r w:rsidRPr="007A78AD">
              <w:t>11,256</w:t>
            </w:r>
          </w:p>
        </w:tc>
        <w:tc>
          <w:tcPr>
            <w:tcW w:w="432" w:type="pct"/>
            <w:shd w:val="clear" w:color="auto" w:fill="auto"/>
            <w:noWrap/>
            <w:vAlign w:val="center"/>
            <w:hideMark/>
          </w:tcPr>
          <w:p w:rsidR="00041269" w:rsidRPr="007A78AD" w:rsidRDefault="00041269" w:rsidP="007E27F3">
            <w:pPr>
              <w:pStyle w:val="TableText"/>
            </w:pPr>
            <w:r w:rsidRPr="007A78AD">
              <w:t>15.98%</w:t>
            </w:r>
          </w:p>
        </w:tc>
        <w:tc>
          <w:tcPr>
            <w:tcW w:w="625" w:type="pct"/>
            <w:shd w:val="clear" w:color="auto" w:fill="auto"/>
            <w:noWrap/>
            <w:vAlign w:val="center"/>
            <w:hideMark/>
          </w:tcPr>
          <w:p w:rsidR="00041269" w:rsidRPr="007A78AD" w:rsidRDefault="00041269" w:rsidP="007E27F3">
            <w:pPr>
              <w:pStyle w:val="TableText"/>
            </w:pPr>
            <w:r w:rsidRPr="007A78AD">
              <w:t>5.0%</w:t>
            </w:r>
          </w:p>
        </w:tc>
      </w:tr>
      <w:tr w:rsidR="00041269" w:rsidRPr="007A78AD" w:rsidTr="00A907B2">
        <w:trPr>
          <w:trHeight w:val="315"/>
        </w:trPr>
        <w:tc>
          <w:tcPr>
            <w:tcW w:w="760" w:type="pct"/>
            <w:vMerge/>
            <w:vAlign w:val="center"/>
            <w:hideMark/>
          </w:tcPr>
          <w:p w:rsidR="00041269" w:rsidRPr="007A78AD" w:rsidRDefault="00041269" w:rsidP="007E27F3">
            <w:pPr>
              <w:pStyle w:val="TableText"/>
            </w:pPr>
          </w:p>
        </w:tc>
        <w:tc>
          <w:tcPr>
            <w:tcW w:w="1599" w:type="pct"/>
            <w:shd w:val="clear" w:color="auto" w:fill="auto"/>
            <w:noWrap/>
            <w:vAlign w:val="center"/>
            <w:hideMark/>
          </w:tcPr>
          <w:p w:rsidR="00041269" w:rsidRPr="007A78AD" w:rsidRDefault="00041269" w:rsidP="007E27F3">
            <w:pPr>
              <w:pStyle w:val="TableText"/>
            </w:pPr>
            <w:r w:rsidRPr="007A78AD">
              <w:t>Offices, Hotels, Finance</w:t>
            </w:r>
            <w:r w:rsidR="002F60B8">
              <w:t xml:space="preserve"> &amp;</w:t>
            </w:r>
            <w:r w:rsidRPr="007A78AD">
              <w:t xml:space="preserve"> Services</w:t>
            </w:r>
          </w:p>
        </w:tc>
        <w:tc>
          <w:tcPr>
            <w:tcW w:w="606" w:type="pct"/>
            <w:shd w:val="clear" w:color="auto" w:fill="auto"/>
            <w:noWrap/>
            <w:vAlign w:val="center"/>
            <w:hideMark/>
          </w:tcPr>
          <w:p w:rsidR="00041269" w:rsidRPr="007A78AD" w:rsidRDefault="00041269" w:rsidP="007E27F3">
            <w:pPr>
              <w:pStyle w:val="TableText"/>
            </w:pPr>
            <w:r w:rsidRPr="007A78AD">
              <w:t>316</w:t>
            </w:r>
          </w:p>
        </w:tc>
        <w:tc>
          <w:tcPr>
            <w:tcW w:w="380" w:type="pct"/>
            <w:shd w:val="clear" w:color="auto" w:fill="auto"/>
            <w:noWrap/>
            <w:vAlign w:val="center"/>
            <w:hideMark/>
          </w:tcPr>
          <w:p w:rsidR="00041269" w:rsidRPr="007A78AD" w:rsidRDefault="00041269" w:rsidP="007E27F3">
            <w:pPr>
              <w:pStyle w:val="TableText"/>
            </w:pPr>
            <w:r w:rsidRPr="007A78AD">
              <w:t>25.6%</w:t>
            </w:r>
          </w:p>
        </w:tc>
        <w:tc>
          <w:tcPr>
            <w:tcW w:w="598" w:type="pct"/>
            <w:shd w:val="clear" w:color="auto" w:fill="auto"/>
            <w:noWrap/>
            <w:vAlign w:val="center"/>
            <w:hideMark/>
          </w:tcPr>
          <w:p w:rsidR="00041269" w:rsidRPr="007A78AD" w:rsidRDefault="00041269" w:rsidP="007E27F3">
            <w:pPr>
              <w:pStyle w:val="TableText"/>
            </w:pPr>
            <w:r w:rsidRPr="007A78AD">
              <w:t>27,283</w:t>
            </w:r>
          </w:p>
        </w:tc>
        <w:tc>
          <w:tcPr>
            <w:tcW w:w="432" w:type="pct"/>
            <w:shd w:val="clear" w:color="auto" w:fill="auto"/>
            <w:noWrap/>
            <w:vAlign w:val="center"/>
            <w:hideMark/>
          </w:tcPr>
          <w:p w:rsidR="00041269" w:rsidRPr="007A78AD" w:rsidRDefault="00041269" w:rsidP="007E27F3">
            <w:pPr>
              <w:pStyle w:val="TableText"/>
            </w:pPr>
            <w:r w:rsidRPr="007A78AD">
              <w:t>38.74%</w:t>
            </w:r>
          </w:p>
        </w:tc>
        <w:tc>
          <w:tcPr>
            <w:tcW w:w="625" w:type="pct"/>
            <w:shd w:val="clear" w:color="auto" w:fill="auto"/>
            <w:noWrap/>
            <w:vAlign w:val="center"/>
            <w:hideMark/>
          </w:tcPr>
          <w:p w:rsidR="00041269" w:rsidRPr="007A78AD" w:rsidRDefault="00041269" w:rsidP="007E27F3">
            <w:pPr>
              <w:pStyle w:val="TableText"/>
            </w:pPr>
            <w:r w:rsidRPr="007A78AD">
              <w:t>2.5%</w:t>
            </w:r>
          </w:p>
        </w:tc>
      </w:tr>
      <w:tr w:rsidR="00041269" w:rsidRPr="007A78AD" w:rsidTr="00A907B2">
        <w:trPr>
          <w:trHeight w:val="315"/>
        </w:trPr>
        <w:tc>
          <w:tcPr>
            <w:tcW w:w="760" w:type="pct"/>
            <w:vMerge/>
            <w:vAlign w:val="center"/>
            <w:hideMark/>
          </w:tcPr>
          <w:p w:rsidR="00041269" w:rsidRPr="007A78AD" w:rsidRDefault="00041269" w:rsidP="007E27F3">
            <w:pPr>
              <w:pStyle w:val="TableText"/>
            </w:pPr>
          </w:p>
        </w:tc>
        <w:tc>
          <w:tcPr>
            <w:tcW w:w="1599" w:type="pct"/>
            <w:shd w:val="clear" w:color="auto" w:fill="auto"/>
            <w:noWrap/>
            <w:vAlign w:val="center"/>
            <w:hideMark/>
          </w:tcPr>
          <w:p w:rsidR="00041269" w:rsidRPr="007A78AD" w:rsidRDefault="00041269" w:rsidP="007E27F3">
            <w:pPr>
              <w:pStyle w:val="TableText"/>
            </w:pPr>
            <w:r w:rsidRPr="007A78AD">
              <w:t>Schools</w:t>
            </w:r>
          </w:p>
        </w:tc>
        <w:tc>
          <w:tcPr>
            <w:tcW w:w="606" w:type="pct"/>
            <w:shd w:val="clear" w:color="auto" w:fill="auto"/>
            <w:noWrap/>
            <w:vAlign w:val="center"/>
            <w:hideMark/>
          </w:tcPr>
          <w:p w:rsidR="00041269" w:rsidRPr="007A78AD" w:rsidRDefault="00041269" w:rsidP="007E27F3">
            <w:pPr>
              <w:pStyle w:val="TableText"/>
            </w:pPr>
            <w:r w:rsidRPr="007A78AD">
              <w:t>245</w:t>
            </w:r>
          </w:p>
        </w:tc>
        <w:tc>
          <w:tcPr>
            <w:tcW w:w="380" w:type="pct"/>
            <w:shd w:val="clear" w:color="auto" w:fill="auto"/>
            <w:noWrap/>
            <w:vAlign w:val="center"/>
            <w:hideMark/>
          </w:tcPr>
          <w:p w:rsidR="00041269" w:rsidRPr="007A78AD" w:rsidRDefault="00041269" w:rsidP="007E27F3">
            <w:pPr>
              <w:pStyle w:val="TableText"/>
            </w:pPr>
            <w:r w:rsidRPr="007A78AD">
              <w:t>19.9%</w:t>
            </w:r>
          </w:p>
        </w:tc>
        <w:tc>
          <w:tcPr>
            <w:tcW w:w="598" w:type="pct"/>
            <w:shd w:val="clear" w:color="auto" w:fill="auto"/>
            <w:noWrap/>
            <w:vAlign w:val="center"/>
            <w:hideMark/>
          </w:tcPr>
          <w:p w:rsidR="00041269" w:rsidRPr="007A78AD" w:rsidRDefault="00041269" w:rsidP="007E27F3">
            <w:pPr>
              <w:pStyle w:val="TableText"/>
            </w:pPr>
            <w:r w:rsidRPr="007A78AD">
              <w:t>4,217</w:t>
            </w:r>
          </w:p>
        </w:tc>
        <w:tc>
          <w:tcPr>
            <w:tcW w:w="432" w:type="pct"/>
            <w:shd w:val="clear" w:color="auto" w:fill="auto"/>
            <w:noWrap/>
            <w:vAlign w:val="center"/>
            <w:hideMark/>
          </w:tcPr>
          <w:p w:rsidR="00041269" w:rsidRPr="007A78AD" w:rsidRDefault="00041269" w:rsidP="007E27F3">
            <w:pPr>
              <w:pStyle w:val="TableText"/>
            </w:pPr>
            <w:r w:rsidRPr="007A78AD">
              <w:t>5.99%</w:t>
            </w:r>
          </w:p>
        </w:tc>
        <w:tc>
          <w:tcPr>
            <w:tcW w:w="625" w:type="pct"/>
            <w:shd w:val="clear" w:color="auto" w:fill="auto"/>
            <w:noWrap/>
            <w:vAlign w:val="center"/>
            <w:hideMark/>
          </w:tcPr>
          <w:p w:rsidR="00041269" w:rsidRPr="007A78AD" w:rsidRDefault="00041269" w:rsidP="007E27F3">
            <w:pPr>
              <w:pStyle w:val="TableText"/>
            </w:pPr>
            <w:r w:rsidRPr="007A78AD">
              <w:t>0.0%</w:t>
            </w:r>
          </w:p>
        </w:tc>
      </w:tr>
      <w:tr w:rsidR="00041269" w:rsidRPr="007A78AD" w:rsidTr="00A907B2">
        <w:trPr>
          <w:trHeight w:val="315"/>
        </w:trPr>
        <w:tc>
          <w:tcPr>
            <w:tcW w:w="760" w:type="pct"/>
            <w:vMerge/>
            <w:vAlign w:val="center"/>
            <w:hideMark/>
          </w:tcPr>
          <w:p w:rsidR="00041269" w:rsidRPr="007A78AD" w:rsidRDefault="00041269" w:rsidP="007E27F3">
            <w:pPr>
              <w:pStyle w:val="TableText"/>
            </w:pPr>
          </w:p>
        </w:tc>
        <w:tc>
          <w:tcPr>
            <w:tcW w:w="1599" w:type="pct"/>
            <w:shd w:val="clear" w:color="auto" w:fill="auto"/>
            <w:noWrap/>
            <w:vAlign w:val="center"/>
            <w:hideMark/>
          </w:tcPr>
          <w:p w:rsidR="00041269" w:rsidRPr="007A78AD" w:rsidRDefault="00041269" w:rsidP="007E27F3">
            <w:pPr>
              <w:pStyle w:val="TableText"/>
            </w:pPr>
            <w:r w:rsidRPr="007A78AD">
              <w:t>Institutional/Government</w:t>
            </w:r>
          </w:p>
        </w:tc>
        <w:tc>
          <w:tcPr>
            <w:tcW w:w="606" w:type="pct"/>
            <w:shd w:val="clear" w:color="auto" w:fill="auto"/>
            <w:noWrap/>
            <w:vAlign w:val="center"/>
            <w:hideMark/>
          </w:tcPr>
          <w:p w:rsidR="00041269" w:rsidRPr="007A78AD" w:rsidRDefault="00041269" w:rsidP="007E27F3">
            <w:pPr>
              <w:pStyle w:val="TableText"/>
            </w:pPr>
            <w:r w:rsidRPr="007A78AD">
              <w:t>93</w:t>
            </w:r>
          </w:p>
        </w:tc>
        <w:tc>
          <w:tcPr>
            <w:tcW w:w="380" w:type="pct"/>
            <w:shd w:val="clear" w:color="auto" w:fill="auto"/>
            <w:noWrap/>
            <w:vAlign w:val="center"/>
            <w:hideMark/>
          </w:tcPr>
          <w:p w:rsidR="00041269" w:rsidRPr="007A78AD" w:rsidRDefault="00041269" w:rsidP="007E27F3">
            <w:pPr>
              <w:pStyle w:val="TableText"/>
            </w:pPr>
            <w:r w:rsidRPr="007A78AD">
              <w:t>7.5%</w:t>
            </w:r>
          </w:p>
        </w:tc>
        <w:tc>
          <w:tcPr>
            <w:tcW w:w="598" w:type="pct"/>
            <w:shd w:val="clear" w:color="auto" w:fill="auto"/>
            <w:noWrap/>
            <w:vAlign w:val="center"/>
            <w:hideMark/>
          </w:tcPr>
          <w:p w:rsidR="00041269" w:rsidRPr="007A78AD" w:rsidRDefault="00041269" w:rsidP="007E27F3">
            <w:pPr>
              <w:pStyle w:val="TableText"/>
            </w:pPr>
            <w:r w:rsidRPr="007A78AD">
              <w:t>8,754</w:t>
            </w:r>
          </w:p>
        </w:tc>
        <w:tc>
          <w:tcPr>
            <w:tcW w:w="432" w:type="pct"/>
            <w:shd w:val="clear" w:color="auto" w:fill="auto"/>
            <w:noWrap/>
            <w:vAlign w:val="center"/>
            <w:hideMark/>
          </w:tcPr>
          <w:p w:rsidR="00041269" w:rsidRPr="007A78AD" w:rsidRDefault="00041269" w:rsidP="007E27F3">
            <w:pPr>
              <w:pStyle w:val="TableText"/>
            </w:pPr>
            <w:r w:rsidRPr="007A78AD">
              <w:t>12.43%</w:t>
            </w:r>
          </w:p>
        </w:tc>
        <w:tc>
          <w:tcPr>
            <w:tcW w:w="625" w:type="pct"/>
            <w:shd w:val="clear" w:color="auto" w:fill="auto"/>
            <w:noWrap/>
            <w:vAlign w:val="center"/>
            <w:hideMark/>
          </w:tcPr>
          <w:p w:rsidR="00041269" w:rsidRPr="007A78AD" w:rsidRDefault="00041269" w:rsidP="007E27F3">
            <w:pPr>
              <w:pStyle w:val="TableText"/>
            </w:pPr>
            <w:r w:rsidRPr="007A78AD">
              <w:t>3.2%</w:t>
            </w:r>
          </w:p>
        </w:tc>
      </w:tr>
    </w:tbl>
    <w:p w:rsidR="00041269" w:rsidRPr="00041269" w:rsidRDefault="00041269" w:rsidP="00041269">
      <w:pPr>
        <w:pStyle w:val="BodyParagraph"/>
      </w:pPr>
    </w:p>
    <w:p w:rsidR="00965107" w:rsidRDefault="00EF76C3" w:rsidP="00EF76C3">
      <w:pPr>
        <w:pStyle w:val="BodyParagraph"/>
      </w:pPr>
      <w:r>
        <w:t>Table 7-6 shows PG&amp;E's enrollment projections for medium customers through 2023.  There is a large</w:t>
      </w:r>
      <w:r w:rsidR="002F60B8">
        <w:t> </w:t>
      </w:r>
      <w:r>
        <w:t>increase in enrollment projected between 2014 and 2015.  Starting in November 2014</w:t>
      </w:r>
      <w:r w:rsidR="002F60B8">
        <w:t>,</w:t>
      </w:r>
      <w:r>
        <w:t xml:space="preserve"> medium customers </w:t>
      </w:r>
      <w:r w:rsidR="002F60B8">
        <w:t xml:space="preserve">with </w:t>
      </w:r>
      <w:r>
        <w:t>at least 24 months of experience on a TOU rate will</w:t>
      </w:r>
      <w:r w:rsidR="00965107">
        <w:t xml:space="preserve"> start to be defaulted </w:t>
      </w:r>
      <w:r>
        <w:t xml:space="preserve">onto CPP, leading to the increase in enrollment.  The enrollment </w:t>
      </w:r>
      <w:r w:rsidR="00965107">
        <w:t xml:space="preserve">increase </w:t>
      </w:r>
      <w:r>
        <w:t xml:space="preserve">is gradual because it is tied to the rollout of smart meters.  In August 2013, 228 medium customers are forecast to receive service under the tariff, most of whom voluntarily enrolled </w:t>
      </w:r>
      <w:r w:rsidR="00965107">
        <w:t>o</w:t>
      </w:r>
      <w:r>
        <w:t xml:space="preserve">n CPP.  In </w:t>
      </w:r>
      <w:r w:rsidR="007A78AD">
        <w:t>contrast, by August 2015, 11,727</w:t>
      </w:r>
      <w:r>
        <w:t xml:space="preserve"> medium customers are projected to be served under the rate schedule.  And by November 2016, the medium customer population is expected to stabilize at around 30,000 accounts.  The enrollment forecast is similar to that from last year.</w:t>
      </w:r>
    </w:p>
    <w:p w:rsidR="001E3B5B" w:rsidRDefault="00965107" w:rsidP="007E27F3">
      <w:pPr>
        <w:pStyle w:val="TableFigureCaption"/>
      </w:pPr>
      <w:r>
        <w:br w:type="page"/>
      </w:r>
      <w:r w:rsidR="00966314" w:rsidRPr="00340FC0">
        <w:lastRenderedPageBreak/>
        <w:t>Table 7-6:</w:t>
      </w:r>
      <w:r w:rsidR="00626371">
        <w:t xml:space="preserve"> </w:t>
      </w:r>
      <w:r w:rsidR="00966314" w:rsidRPr="00340FC0">
        <w:t xml:space="preserve">PG&amp;E’s Enrollment Projections for Medium CPP Customers </w:t>
      </w:r>
      <w:r w:rsidR="007E27F3">
        <w:br/>
      </w:r>
      <w:r w:rsidR="00966314" w:rsidRPr="00340FC0">
        <w:t>by Forecast Year and Month</w:t>
      </w:r>
    </w:p>
    <w:tbl>
      <w:tblPr>
        <w:tblW w:w="0" w:type="auto"/>
        <w:tblLayout w:type="fixed"/>
        <w:tblLook w:val="04A0" w:firstRow="1" w:lastRow="0" w:firstColumn="1" w:lastColumn="0" w:noHBand="0" w:noVBand="1"/>
      </w:tblPr>
      <w:tblGrid>
        <w:gridCol w:w="835"/>
        <w:gridCol w:w="715"/>
        <w:gridCol w:w="716"/>
        <w:gridCol w:w="716"/>
        <w:gridCol w:w="716"/>
        <w:gridCol w:w="716"/>
        <w:gridCol w:w="716"/>
        <w:gridCol w:w="716"/>
        <w:gridCol w:w="716"/>
        <w:gridCol w:w="716"/>
        <w:gridCol w:w="716"/>
        <w:gridCol w:w="716"/>
        <w:gridCol w:w="708"/>
      </w:tblGrid>
      <w:tr w:rsidR="007A78AD" w:rsidRPr="007A78AD" w:rsidTr="007A78AD">
        <w:trPr>
          <w:trHeight w:val="402"/>
        </w:trPr>
        <w:tc>
          <w:tcPr>
            <w:tcW w:w="835" w:type="dxa"/>
            <w:tcBorders>
              <w:top w:val="single" w:sz="4" w:space="0" w:color="000000"/>
              <w:left w:val="single" w:sz="4" w:space="0" w:color="000000"/>
              <w:bottom w:val="single" w:sz="4" w:space="0" w:color="000000"/>
              <w:right w:val="single" w:sz="4" w:space="0" w:color="FFFFFF"/>
            </w:tcBorders>
            <w:shd w:val="clear" w:color="000000" w:fill="1F497D"/>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Year</w:t>
            </w:r>
          </w:p>
        </w:tc>
        <w:tc>
          <w:tcPr>
            <w:tcW w:w="715" w:type="dxa"/>
            <w:tcBorders>
              <w:top w:val="single" w:sz="4" w:space="0" w:color="000000"/>
              <w:left w:val="nil"/>
              <w:bottom w:val="single" w:sz="4" w:space="0" w:color="000000"/>
              <w:right w:val="single" w:sz="4" w:space="0" w:color="FFFFFF"/>
            </w:tcBorders>
            <w:shd w:val="clear" w:color="000000" w:fill="1F497D"/>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Jan</w:t>
            </w:r>
          </w:p>
        </w:tc>
        <w:tc>
          <w:tcPr>
            <w:tcW w:w="716" w:type="dxa"/>
            <w:tcBorders>
              <w:top w:val="single" w:sz="4" w:space="0" w:color="000000"/>
              <w:left w:val="nil"/>
              <w:bottom w:val="single" w:sz="4" w:space="0" w:color="000000"/>
              <w:right w:val="single" w:sz="4" w:space="0" w:color="FFFFFF"/>
            </w:tcBorders>
            <w:shd w:val="clear" w:color="000000" w:fill="1F497D"/>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Feb</w:t>
            </w:r>
          </w:p>
        </w:tc>
        <w:tc>
          <w:tcPr>
            <w:tcW w:w="716" w:type="dxa"/>
            <w:tcBorders>
              <w:top w:val="single" w:sz="4" w:space="0" w:color="000000"/>
              <w:left w:val="nil"/>
              <w:bottom w:val="single" w:sz="4" w:space="0" w:color="000000"/>
              <w:right w:val="single" w:sz="4" w:space="0" w:color="FFFFFF"/>
            </w:tcBorders>
            <w:shd w:val="clear" w:color="000000" w:fill="1F497D"/>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Mar</w:t>
            </w:r>
          </w:p>
        </w:tc>
        <w:tc>
          <w:tcPr>
            <w:tcW w:w="716" w:type="dxa"/>
            <w:tcBorders>
              <w:top w:val="single" w:sz="4" w:space="0" w:color="000000"/>
              <w:left w:val="nil"/>
              <w:bottom w:val="single" w:sz="4" w:space="0" w:color="000000"/>
              <w:right w:val="single" w:sz="4" w:space="0" w:color="FFFFFF"/>
            </w:tcBorders>
            <w:shd w:val="clear" w:color="000000" w:fill="1F497D"/>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Apr</w:t>
            </w:r>
          </w:p>
        </w:tc>
        <w:tc>
          <w:tcPr>
            <w:tcW w:w="716" w:type="dxa"/>
            <w:tcBorders>
              <w:top w:val="single" w:sz="4" w:space="0" w:color="000000"/>
              <w:left w:val="nil"/>
              <w:bottom w:val="single" w:sz="4" w:space="0" w:color="000000"/>
              <w:right w:val="single" w:sz="4" w:space="0" w:color="FFFFFF"/>
            </w:tcBorders>
            <w:shd w:val="clear" w:color="000000" w:fill="1F497D"/>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May</w:t>
            </w:r>
          </w:p>
        </w:tc>
        <w:tc>
          <w:tcPr>
            <w:tcW w:w="716" w:type="dxa"/>
            <w:tcBorders>
              <w:top w:val="single" w:sz="4" w:space="0" w:color="000000"/>
              <w:left w:val="nil"/>
              <w:bottom w:val="single" w:sz="4" w:space="0" w:color="000000"/>
              <w:right w:val="single" w:sz="4" w:space="0" w:color="FFFFFF"/>
            </w:tcBorders>
            <w:shd w:val="clear" w:color="000000" w:fill="1F497D"/>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Jun</w:t>
            </w:r>
          </w:p>
        </w:tc>
        <w:tc>
          <w:tcPr>
            <w:tcW w:w="716" w:type="dxa"/>
            <w:tcBorders>
              <w:top w:val="single" w:sz="4" w:space="0" w:color="000000"/>
              <w:left w:val="nil"/>
              <w:bottom w:val="single" w:sz="4" w:space="0" w:color="000000"/>
              <w:right w:val="single" w:sz="4" w:space="0" w:color="FFFFFF"/>
            </w:tcBorders>
            <w:shd w:val="clear" w:color="000000" w:fill="1F497D"/>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Jul</w:t>
            </w:r>
          </w:p>
        </w:tc>
        <w:tc>
          <w:tcPr>
            <w:tcW w:w="716" w:type="dxa"/>
            <w:tcBorders>
              <w:top w:val="single" w:sz="4" w:space="0" w:color="000000"/>
              <w:left w:val="nil"/>
              <w:bottom w:val="single" w:sz="4" w:space="0" w:color="000000"/>
              <w:right w:val="single" w:sz="4" w:space="0" w:color="FFFFFF"/>
            </w:tcBorders>
            <w:shd w:val="clear" w:color="000000" w:fill="1F497D"/>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Aug</w:t>
            </w:r>
          </w:p>
        </w:tc>
        <w:tc>
          <w:tcPr>
            <w:tcW w:w="716" w:type="dxa"/>
            <w:tcBorders>
              <w:top w:val="single" w:sz="4" w:space="0" w:color="000000"/>
              <w:left w:val="nil"/>
              <w:bottom w:val="single" w:sz="4" w:space="0" w:color="000000"/>
              <w:right w:val="single" w:sz="4" w:space="0" w:color="FFFFFF"/>
            </w:tcBorders>
            <w:shd w:val="clear" w:color="000000" w:fill="1F497D"/>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Sep</w:t>
            </w:r>
          </w:p>
        </w:tc>
        <w:tc>
          <w:tcPr>
            <w:tcW w:w="716" w:type="dxa"/>
            <w:tcBorders>
              <w:top w:val="single" w:sz="4" w:space="0" w:color="000000"/>
              <w:left w:val="nil"/>
              <w:bottom w:val="single" w:sz="4" w:space="0" w:color="000000"/>
              <w:right w:val="single" w:sz="4" w:space="0" w:color="FFFFFF"/>
            </w:tcBorders>
            <w:shd w:val="clear" w:color="000000" w:fill="1F497D"/>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Oct</w:t>
            </w:r>
          </w:p>
        </w:tc>
        <w:tc>
          <w:tcPr>
            <w:tcW w:w="716" w:type="dxa"/>
            <w:tcBorders>
              <w:top w:val="single" w:sz="4" w:space="0" w:color="000000"/>
              <w:left w:val="nil"/>
              <w:bottom w:val="single" w:sz="4" w:space="0" w:color="000000"/>
              <w:right w:val="single" w:sz="4" w:space="0" w:color="FFFFFF"/>
            </w:tcBorders>
            <w:shd w:val="clear" w:color="000000" w:fill="1F497D"/>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Nov</w:t>
            </w:r>
          </w:p>
        </w:tc>
        <w:tc>
          <w:tcPr>
            <w:tcW w:w="708" w:type="dxa"/>
            <w:tcBorders>
              <w:top w:val="single" w:sz="4" w:space="0" w:color="000000"/>
              <w:left w:val="nil"/>
              <w:bottom w:val="single" w:sz="4" w:space="0" w:color="000000"/>
              <w:right w:val="single" w:sz="4" w:space="0" w:color="000000"/>
            </w:tcBorders>
            <w:shd w:val="clear" w:color="000000" w:fill="1F497D"/>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b/>
                <w:bCs/>
                <w:color w:val="FFFFFF"/>
                <w:sz w:val="18"/>
                <w:szCs w:val="18"/>
              </w:rPr>
            </w:pPr>
            <w:r w:rsidRPr="007A78AD">
              <w:rPr>
                <w:rFonts w:ascii="Arial" w:eastAsia="Times New Roman" w:hAnsi="Arial" w:cs="Arial"/>
                <w:b/>
                <w:bCs/>
                <w:color w:val="FFFFFF"/>
                <w:sz w:val="18"/>
                <w:szCs w:val="18"/>
              </w:rPr>
              <w:t>Dec</w:t>
            </w:r>
          </w:p>
        </w:tc>
      </w:tr>
      <w:tr w:rsidR="007A78AD" w:rsidRPr="007A78AD" w:rsidTr="007A78AD">
        <w:trPr>
          <w:trHeight w:val="402"/>
        </w:trPr>
        <w:tc>
          <w:tcPr>
            <w:tcW w:w="835"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2012</w:t>
            </w:r>
          </w:p>
        </w:tc>
        <w:tc>
          <w:tcPr>
            <w:tcW w:w="71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c>
          <w:tcPr>
            <w:tcW w:w="70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210</w:t>
            </w:r>
          </w:p>
        </w:tc>
      </w:tr>
      <w:tr w:rsidR="007A78AD" w:rsidRPr="007A78AD" w:rsidTr="007A78AD">
        <w:trPr>
          <w:trHeight w:val="402"/>
        </w:trPr>
        <w:tc>
          <w:tcPr>
            <w:tcW w:w="835"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2013</w:t>
            </w:r>
          </w:p>
        </w:tc>
        <w:tc>
          <w:tcPr>
            <w:tcW w:w="71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0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r>
      <w:tr w:rsidR="007A78AD" w:rsidRPr="007A78AD" w:rsidTr="007A78AD">
        <w:trPr>
          <w:trHeight w:val="402"/>
        </w:trPr>
        <w:tc>
          <w:tcPr>
            <w:tcW w:w="835"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2014</w:t>
            </w:r>
          </w:p>
        </w:tc>
        <w:tc>
          <w:tcPr>
            <w:tcW w:w="71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11,697</w:t>
            </w:r>
          </w:p>
        </w:tc>
        <w:tc>
          <w:tcPr>
            <w:tcW w:w="70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11,697</w:t>
            </w:r>
          </w:p>
        </w:tc>
      </w:tr>
      <w:tr w:rsidR="007A78AD" w:rsidRPr="007A78AD" w:rsidTr="007A78AD">
        <w:trPr>
          <w:trHeight w:val="402"/>
        </w:trPr>
        <w:tc>
          <w:tcPr>
            <w:tcW w:w="835"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2015</w:t>
            </w:r>
          </w:p>
        </w:tc>
        <w:tc>
          <w:tcPr>
            <w:tcW w:w="71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11,697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11,697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11,727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11,727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11,727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11,727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11,727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11,727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11,727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11,727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16,758</w:t>
            </w:r>
          </w:p>
        </w:tc>
        <w:tc>
          <w:tcPr>
            <w:tcW w:w="70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16,779</w:t>
            </w:r>
          </w:p>
        </w:tc>
      </w:tr>
      <w:tr w:rsidR="007A78AD" w:rsidRPr="007A78AD" w:rsidTr="007A78AD">
        <w:trPr>
          <w:trHeight w:val="402"/>
        </w:trPr>
        <w:tc>
          <w:tcPr>
            <w:tcW w:w="835"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2016</w:t>
            </w:r>
          </w:p>
        </w:tc>
        <w:tc>
          <w:tcPr>
            <w:tcW w:w="71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16,802</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16,826</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16,875</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16,909</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16,938</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16,965</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16,991</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17,017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17,041</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17,063</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29,354</w:t>
            </w:r>
          </w:p>
        </w:tc>
        <w:tc>
          <w:tcPr>
            <w:tcW w:w="70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29,375</w:t>
            </w:r>
          </w:p>
        </w:tc>
      </w:tr>
      <w:tr w:rsidR="007A78AD" w:rsidRPr="007A78AD" w:rsidTr="007A78AD">
        <w:trPr>
          <w:trHeight w:val="402"/>
        </w:trPr>
        <w:tc>
          <w:tcPr>
            <w:tcW w:w="835"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2017</w:t>
            </w:r>
          </w:p>
        </w:tc>
        <w:tc>
          <w:tcPr>
            <w:tcW w:w="71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29,398</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29,422</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30,520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30,552</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30,581</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30,607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30,633</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30,658</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30,681</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30,702</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28,191</w:t>
            </w:r>
          </w:p>
        </w:tc>
        <w:tc>
          <w:tcPr>
            <w:tcW w:w="70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28,211</w:t>
            </w:r>
          </w:p>
        </w:tc>
      </w:tr>
      <w:tr w:rsidR="007A78AD" w:rsidRPr="007A78AD" w:rsidTr="007A78AD">
        <w:trPr>
          <w:trHeight w:val="402"/>
        </w:trPr>
        <w:tc>
          <w:tcPr>
            <w:tcW w:w="835"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2018</w:t>
            </w:r>
          </w:p>
        </w:tc>
        <w:tc>
          <w:tcPr>
            <w:tcW w:w="71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28,233</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28,255</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28,279</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28,310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28,336</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28,361</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28,385</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28,408</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28,430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28,450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28,425</w:t>
            </w:r>
          </w:p>
        </w:tc>
        <w:tc>
          <w:tcPr>
            <w:tcW w:w="70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28,444</w:t>
            </w:r>
          </w:p>
        </w:tc>
      </w:tr>
      <w:tr w:rsidR="007A78AD" w:rsidRPr="007A78AD" w:rsidTr="007A78AD">
        <w:trPr>
          <w:trHeight w:val="402"/>
        </w:trPr>
        <w:tc>
          <w:tcPr>
            <w:tcW w:w="835"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2019</w:t>
            </w:r>
          </w:p>
        </w:tc>
        <w:tc>
          <w:tcPr>
            <w:tcW w:w="71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28,464</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28,484</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28,508</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28,537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28,561</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28,584</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28,606</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28,627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28,647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28,665</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28,681</w:t>
            </w:r>
          </w:p>
        </w:tc>
        <w:tc>
          <w:tcPr>
            <w:tcW w:w="70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28,698</w:t>
            </w:r>
          </w:p>
        </w:tc>
      </w:tr>
      <w:tr w:rsidR="007A78AD" w:rsidRPr="007A78AD" w:rsidTr="007A78AD">
        <w:trPr>
          <w:trHeight w:val="402"/>
        </w:trPr>
        <w:tc>
          <w:tcPr>
            <w:tcW w:w="835"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2020</w:t>
            </w:r>
          </w:p>
        </w:tc>
        <w:tc>
          <w:tcPr>
            <w:tcW w:w="71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28,717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28,736</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28,758</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28,785</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28,808</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28,830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28,851</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28,872</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28,891</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28,908</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28,924</w:t>
            </w:r>
          </w:p>
        </w:tc>
        <w:tc>
          <w:tcPr>
            <w:tcW w:w="70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28,940</w:t>
            </w:r>
          </w:p>
        </w:tc>
      </w:tr>
      <w:tr w:rsidR="007A78AD" w:rsidRPr="007A78AD" w:rsidTr="007A78AD">
        <w:trPr>
          <w:trHeight w:val="402"/>
        </w:trPr>
        <w:tc>
          <w:tcPr>
            <w:tcW w:w="835"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2021</w:t>
            </w:r>
          </w:p>
        </w:tc>
        <w:tc>
          <w:tcPr>
            <w:tcW w:w="71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28,959</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28,978</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29,000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29,027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29,051</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29,073</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29,094</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29,114</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29,133</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29,150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29,165</w:t>
            </w:r>
          </w:p>
        </w:tc>
        <w:tc>
          <w:tcPr>
            <w:tcW w:w="70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29,181</w:t>
            </w:r>
          </w:p>
        </w:tc>
      </w:tr>
      <w:tr w:rsidR="007A78AD" w:rsidRPr="007A78AD" w:rsidTr="007A78AD">
        <w:trPr>
          <w:trHeight w:val="402"/>
        </w:trPr>
        <w:tc>
          <w:tcPr>
            <w:tcW w:w="835"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2022</w:t>
            </w:r>
          </w:p>
        </w:tc>
        <w:tc>
          <w:tcPr>
            <w:tcW w:w="71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29,199</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29,218</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29,239</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29,266</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29,289</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29,310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29,330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29,350</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29,368</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29,384</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29,399</w:t>
            </w:r>
          </w:p>
        </w:tc>
        <w:tc>
          <w:tcPr>
            <w:tcW w:w="70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29,414</w:t>
            </w:r>
          </w:p>
        </w:tc>
      </w:tr>
      <w:tr w:rsidR="007A78AD" w:rsidRPr="007A78AD" w:rsidTr="007A78AD">
        <w:trPr>
          <w:trHeight w:val="402"/>
        </w:trPr>
        <w:tc>
          <w:tcPr>
            <w:tcW w:w="835" w:type="dxa"/>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2023</w:t>
            </w:r>
          </w:p>
        </w:tc>
        <w:tc>
          <w:tcPr>
            <w:tcW w:w="71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29,431</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29,449</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29,469</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29,495</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29,517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29,537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29,557</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29,575</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29,593</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29,608</w:t>
            </w:r>
          </w:p>
        </w:tc>
        <w:tc>
          <w:tcPr>
            <w:tcW w:w="71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29,622</w:t>
            </w:r>
          </w:p>
        </w:tc>
        <w:tc>
          <w:tcPr>
            <w:tcW w:w="708"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7A78AD" w:rsidRPr="007A78AD" w:rsidRDefault="007A78AD" w:rsidP="007A78AD">
            <w:pPr>
              <w:spacing w:after="0" w:line="240" w:lineRule="auto"/>
              <w:jc w:val="center"/>
              <w:rPr>
                <w:rFonts w:ascii="Arial" w:eastAsia="Times New Roman" w:hAnsi="Arial" w:cs="Arial"/>
                <w:color w:val="000000"/>
                <w:sz w:val="18"/>
                <w:szCs w:val="18"/>
              </w:rPr>
            </w:pPr>
            <w:r w:rsidRPr="007A78AD">
              <w:rPr>
                <w:rFonts w:ascii="Arial" w:eastAsia="Times New Roman" w:hAnsi="Arial" w:cs="Arial"/>
                <w:color w:val="000000"/>
                <w:sz w:val="18"/>
                <w:szCs w:val="18"/>
              </w:rPr>
              <w:t>29,637</w:t>
            </w:r>
          </w:p>
        </w:tc>
      </w:tr>
    </w:tbl>
    <w:p w:rsidR="00EF76C3" w:rsidRDefault="00EF76C3" w:rsidP="00A907B2">
      <w:pPr>
        <w:pStyle w:val="Heading3"/>
        <w:spacing w:before="360"/>
        <w:ind w:left="1354" w:hanging="994"/>
        <w:rPr>
          <w:rFonts w:cs="Calibri"/>
        </w:rPr>
      </w:pPr>
      <w:bookmarkStart w:id="177" w:name="_Toc352230601"/>
      <w:bookmarkStart w:id="178" w:name="_Toc289178034"/>
      <w:bookmarkStart w:id="179" w:name="_Toc326072134"/>
      <w:bookmarkStart w:id="180" w:name="_Toc350845370"/>
      <w:bookmarkStart w:id="181" w:name="_Toc352323658"/>
      <w:bookmarkEnd w:id="177"/>
      <w:r>
        <w:t xml:space="preserve">Annual System Peak </w:t>
      </w:r>
      <w:r w:rsidRPr="00564E9A">
        <w:t>Day</w:t>
      </w:r>
      <w:r>
        <w:t xml:space="preserve"> Impacts</w:t>
      </w:r>
      <w:bookmarkEnd w:id="178"/>
      <w:bookmarkEnd w:id="179"/>
      <w:bookmarkEnd w:id="180"/>
      <w:bookmarkEnd w:id="181"/>
    </w:p>
    <w:p w:rsidR="00827253" w:rsidRDefault="00EF76C3" w:rsidP="00A907B2">
      <w:pPr>
        <w:pStyle w:val="BodyParagraph"/>
      </w:pPr>
      <w:r>
        <w:t>Table 7-7 summarizes the aggregate load impact estimates for medium customers on PG&amp;E’s CPP tariff for each forecast year under both 1-in-2 and 1-in-10 weather year scenarios.  The table shows the average load reduction across the 1</w:t>
      </w:r>
      <w:r w:rsidR="00497509">
        <w:t>–</w:t>
      </w:r>
      <w:r>
        <w:t>6 PM event period for an August monthly system peak</w:t>
      </w:r>
      <w:r w:rsidR="00497509">
        <w:t> </w:t>
      </w:r>
      <w:r>
        <w:t>day.</w:t>
      </w:r>
    </w:p>
    <w:p w:rsidR="00094E3A" w:rsidRDefault="00827253" w:rsidP="00094E3A">
      <w:pPr>
        <w:pStyle w:val="BodyParagraph"/>
      </w:pPr>
      <w:r w:rsidRPr="00940F63">
        <w:t xml:space="preserve">Due to the planned default </w:t>
      </w:r>
      <w:r w:rsidR="00094E3A">
        <w:t>of PG&amp;E’s medium C&amp;I population starting in November 2014,</w:t>
      </w:r>
      <w:r w:rsidRPr="00940F63">
        <w:t xml:space="preserve"> the imp</w:t>
      </w:r>
      <w:r>
        <w:t>acts are projected to grow</w:t>
      </w:r>
      <w:r w:rsidR="00094E3A">
        <w:t xml:space="preserve"> from 1.2 MW to a peak of 67 MW in 2017. </w:t>
      </w:r>
      <w:r w:rsidR="00497509">
        <w:t xml:space="preserve"> </w:t>
      </w:r>
      <w:r w:rsidR="00094E3A">
        <w:t>The growth reflects the gradual implementation of default CPP over three years, as more medium customers meet default criteria. Once default CPP is fully implemented, medium customers are forecasted to reduce approximately 6%</w:t>
      </w:r>
      <w:r w:rsidR="00497509">
        <w:t> </w:t>
      </w:r>
      <w:r w:rsidR="00094E3A">
        <w:t xml:space="preserve">of their demand. </w:t>
      </w:r>
    </w:p>
    <w:p w:rsidR="00965107" w:rsidRDefault="00965107">
      <w:pPr>
        <w:rPr>
          <w:rFonts w:ascii="Verdana" w:hAnsi="Verdana"/>
          <w:sz w:val="18"/>
        </w:rPr>
      </w:pPr>
      <w:r>
        <w:br w:type="page"/>
      </w:r>
    </w:p>
    <w:p w:rsidR="00BE5AA0" w:rsidRDefault="00EF76C3">
      <w:pPr>
        <w:pStyle w:val="TableFigureCaption"/>
      </w:pPr>
      <w:r w:rsidRPr="007E27F3">
        <w:lastRenderedPageBreak/>
        <w:t>Table 7-7:</w:t>
      </w:r>
      <w:r w:rsidR="00626371" w:rsidRPr="007E27F3">
        <w:t xml:space="preserve"> </w:t>
      </w:r>
      <w:r w:rsidR="0054710A" w:rsidRPr="007E27F3">
        <w:t>Program</w:t>
      </w:r>
      <w:r w:rsidRPr="007E27F3">
        <w:t xml:space="preserve"> Annual Peak Day Load Impacts for Medium PG&amp;E CPP Customers </w:t>
      </w:r>
      <w:r w:rsidRPr="007E27F3">
        <w:br/>
        <w:t xml:space="preserve">(Hourly Average Reduction in MW Over Event Day Period </w:t>
      </w:r>
      <w:r w:rsidR="00502446">
        <w:t>–</w:t>
      </w:r>
      <w:r w:rsidRPr="007E27F3">
        <w:t xml:space="preserve"> 1</w:t>
      </w:r>
      <w:r w:rsidR="00502446">
        <w:t>–</w:t>
      </w:r>
      <w:r w:rsidRPr="007E27F3">
        <w:t>6 PM)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3"/>
        <w:gridCol w:w="1079"/>
        <w:gridCol w:w="1392"/>
        <w:gridCol w:w="1304"/>
        <w:gridCol w:w="1258"/>
        <w:gridCol w:w="1078"/>
        <w:gridCol w:w="1231"/>
        <w:gridCol w:w="1191"/>
      </w:tblGrid>
      <w:tr w:rsidR="00506B7C" w:rsidRPr="00506B7C" w:rsidTr="007E27F3">
        <w:trPr>
          <w:trHeight w:val="720"/>
        </w:trPr>
        <w:tc>
          <w:tcPr>
            <w:tcW w:w="1043" w:type="dxa"/>
            <w:vMerge w:val="restart"/>
            <w:tcBorders>
              <w:right w:val="single" w:sz="4" w:space="0" w:color="FFFFFF" w:themeColor="background1"/>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Weather Year</w:t>
            </w:r>
          </w:p>
        </w:tc>
        <w:tc>
          <w:tcPr>
            <w:tcW w:w="1079" w:type="dxa"/>
            <w:vMerge w:val="restart"/>
            <w:tcBorders>
              <w:left w:val="single" w:sz="4" w:space="0" w:color="FFFFFF" w:themeColor="background1"/>
              <w:right w:val="single" w:sz="4" w:space="0" w:color="FFFFFF" w:themeColor="background1"/>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Year</w:t>
            </w:r>
          </w:p>
        </w:tc>
        <w:tc>
          <w:tcPr>
            <w:tcW w:w="1392" w:type="dxa"/>
            <w:vMerge w:val="restart"/>
            <w:tcBorders>
              <w:left w:val="single" w:sz="4" w:space="0" w:color="FFFFFF" w:themeColor="background1"/>
              <w:right w:val="single" w:sz="4" w:space="0" w:color="FFFFFF" w:themeColor="background1"/>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Enrolled Accts (Forecast)</w:t>
            </w:r>
          </w:p>
        </w:tc>
        <w:tc>
          <w:tcPr>
            <w:tcW w:w="1304" w:type="dxa"/>
            <w:tcBorders>
              <w:left w:val="single" w:sz="4" w:space="0" w:color="FFFFFF" w:themeColor="background1"/>
              <w:bottom w:val="single" w:sz="4" w:space="0" w:color="FFFFFF" w:themeColor="background1"/>
              <w:right w:val="single" w:sz="4" w:space="0" w:color="FFFFFF" w:themeColor="background1"/>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Avg. Reference Load</w:t>
            </w:r>
          </w:p>
        </w:tc>
        <w:tc>
          <w:tcPr>
            <w:tcW w:w="1258" w:type="dxa"/>
            <w:tcBorders>
              <w:left w:val="single" w:sz="4" w:space="0" w:color="FFFFFF" w:themeColor="background1"/>
              <w:bottom w:val="single" w:sz="4" w:space="0" w:color="FFFFFF" w:themeColor="background1"/>
              <w:right w:val="single" w:sz="4" w:space="0" w:color="FFFFFF" w:themeColor="background1"/>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Avg. Estimated Load w DR</w:t>
            </w:r>
          </w:p>
        </w:tc>
        <w:tc>
          <w:tcPr>
            <w:tcW w:w="1078" w:type="dxa"/>
            <w:tcBorders>
              <w:left w:val="single" w:sz="4" w:space="0" w:color="FFFFFF" w:themeColor="background1"/>
              <w:bottom w:val="single" w:sz="4" w:space="0" w:color="FFFFFF" w:themeColor="background1"/>
              <w:right w:val="single" w:sz="4" w:space="0" w:color="FFFFFF" w:themeColor="background1"/>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Avg. Load impact</w:t>
            </w:r>
          </w:p>
        </w:tc>
        <w:tc>
          <w:tcPr>
            <w:tcW w:w="1231" w:type="dxa"/>
            <w:tcBorders>
              <w:left w:val="single" w:sz="4" w:space="0" w:color="FFFFFF" w:themeColor="background1"/>
              <w:bottom w:val="single" w:sz="4" w:space="0" w:color="FFFFFF" w:themeColor="background1"/>
              <w:right w:val="single" w:sz="4" w:space="0" w:color="FFFFFF" w:themeColor="background1"/>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 Load Reduction</w:t>
            </w:r>
          </w:p>
        </w:tc>
        <w:tc>
          <w:tcPr>
            <w:tcW w:w="1191" w:type="dxa"/>
            <w:tcBorders>
              <w:left w:val="single" w:sz="4" w:space="0" w:color="FFFFFF" w:themeColor="background1"/>
              <w:bottom w:val="single" w:sz="4" w:space="0" w:color="FFFFFF" w:themeColor="background1"/>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Weighted Temp</w:t>
            </w:r>
          </w:p>
        </w:tc>
      </w:tr>
      <w:tr w:rsidR="00506B7C" w:rsidRPr="00506B7C" w:rsidTr="007E27F3">
        <w:trPr>
          <w:trHeight w:val="480"/>
        </w:trPr>
        <w:tc>
          <w:tcPr>
            <w:tcW w:w="1043" w:type="dxa"/>
            <w:vMerge/>
            <w:tcBorders>
              <w:right w:val="single" w:sz="4" w:space="0" w:color="FFFFFF" w:themeColor="background1"/>
            </w:tcBorders>
            <w:vAlign w:val="center"/>
            <w:hideMark/>
          </w:tcPr>
          <w:p w:rsidR="00506B7C" w:rsidRPr="00506B7C" w:rsidRDefault="00506B7C" w:rsidP="00506B7C">
            <w:pPr>
              <w:spacing w:after="0" w:line="240" w:lineRule="auto"/>
              <w:rPr>
                <w:rFonts w:ascii="Arial" w:eastAsia="Times New Roman" w:hAnsi="Arial" w:cs="Arial"/>
                <w:b/>
                <w:bCs/>
                <w:color w:val="FFFFFF"/>
                <w:sz w:val="18"/>
                <w:szCs w:val="18"/>
              </w:rPr>
            </w:pPr>
          </w:p>
        </w:tc>
        <w:tc>
          <w:tcPr>
            <w:tcW w:w="1079" w:type="dxa"/>
            <w:vMerge/>
            <w:tcBorders>
              <w:left w:val="single" w:sz="4" w:space="0" w:color="FFFFFF" w:themeColor="background1"/>
              <w:right w:val="single" w:sz="4" w:space="0" w:color="FFFFFF" w:themeColor="background1"/>
            </w:tcBorders>
            <w:vAlign w:val="center"/>
            <w:hideMark/>
          </w:tcPr>
          <w:p w:rsidR="00506B7C" w:rsidRPr="00506B7C" w:rsidRDefault="00506B7C" w:rsidP="00506B7C">
            <w:pPr>
              <w:spacing w:after="0" w:line="240" w:lineRule="auto"/>
              <w:rPr>
                <w:rFonts w:ascii="Arial" w:eastAsia="Times New Roman" w:hAnsi="Arial" w:cs="Arial"/>
                <w:b/>
                <w:bCs/>
                <w:color w:val="FFFFFF"/>
                <w:sz w:val="18"/>
                <w:szCs w:val="18"/>
              </w:rPr>
            </w:pPr>
          </w:p>
        </w:tc>
        <w:tc>
          <w:tcPr>
            <w:tcW w:w="1392" w:type="dxa"/>
            <w:vMerge/>
            <w:tcBorders>
              <w:left w:val="single" w:sz="4" w:space="0" w:color="FFFFFF" w:themeColor="background1"/>
              <w:right w:val="single" w:sz="4" w:space="0" w:color="FFFFFF" w:themeColor="background1"/>
            </w:tcBorders>
            <w:vAlign w:val="center"/>
            <w:hideMark/>
          </w:tcPr>
          <w:p w:rsidR="00506B7C" w:rsidRPr="00506B7C" w:rsidRDefault="00506B7C" w:rsidP="00506B7C">
            <w:pPr>
              <w:spacing w:after="0" w:line="240" w:lineRule="auto"/>
              <w:rPr>
                <w:rFonts w:ascii="Arial" w:eastAsia="Times New Roman" w:hAnsi="Arial" w:cs="Arial"/>
                <w:b/>
                <w:bCs/>
                <w:color w:val="FFFFFF"/>
                <w:sz w:val="18"/>
                <w:szCs w:val="18"/>
              </w:rPr>
            </w:pPr>
          </w:p>
        </w:tc>
        <w:tc>
          <w:tcPr>
            <w:tcW w:w="1304"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506B7C" w:rsidRPr="00506B7C" w:rsidRDefault="00506B7C" w:rsidP="007E27F3">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MW</w:t>
            </w:r>
            <w:r w:rsidR="007E27F3">
              <w:rPr>
                <w:rFonts w:ascii="Arial" w:eastAsia="Times New Roman" w:hAnsi="Arial" w:cs="Arial"/>
                <w:b/>
                <w:bCs/>
                <w:color w:val="FFFFFF"/>
                <w:sz w:val="18"/>
                <w:szCs w:val="18"/>
              </w:rPr>
              <w:br/>
            </w:r>
            <w:r w:rsidRPr="00506B7C">
              <w:rPr>
                <w:rFonts w:ascii="Arial" w:eastAsia="Times New Roman" w:hAnsi="Arial" w:cs="Arial"/>
                <w:b/>
                <w:bCs/>
                <w:color w:val="FFFFFF"/>
                <w:sz w:val="18"/>
                <w:szCs w:val="18"/>
              </w:rPr>
              <w:t>1</w:t>
            </w:r>
            <w:r w:rsidR="00502446">
              <w:rPr>
                <w:rFonts w:ascii="Arial" w:eastAsia="Times New Roman" w:hAnsi="Arial" w:cs="Arial"/>
                <w:b/>
                <w:bCs/>
                <w:color w:val="FFFFFF"/>
                <w:sz w:val="18"/>
                <w:szCs w:val="18"/>
              </w:rPr>
              <w:t>–</w:t>
            </w:r>
            <w:r w:rsidRPr="00506B7C">
              <w:rPr>
                <w:rFonts w:ascii="Arial" w:eastAsia="Times New Roman" w:hAnsi="Arial" w:cs="Arial"/>
                <w:b/>
                <w:bCs/>
                <w:color w:val="FFFFFF"/>
                <w:sz w:val="18"/>
                <w:szCs w:val="18"/>
              </w:rPr>
              <w:t xml:space="preserve">6 </w:t>
            </w:r>
            <w:r w:rsidR="007E27F3">
              <w:rPr>
                <w:rFonts w:ascii="Arial" w:eastAsia="Times New Roman" w:hAnsi="Arial" w:cs="Arial"/>
                <w:b/>
                <w:bCs/>
                <w:color w:val="FFFFFF"/>
                <w:sz w:val="18"/>
                <w:szCs w:val="18"/>
              </w:rPr>
              <w:t>PM</w:t>
            </w:r>
          </w:p>
        </w:tc>
        <w:tc>
          <w:tcPr>
            <w:tcW w:w="1258"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506B7C" w:rsidRPr="00506B7C" w:rsidRDefault="007E27F3" w:rsidP="007E27F3">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MW</w:t>
            </w:r>
            <w:r>
              <w:rPr>
                <w:rFonts w:ascii="Arial" w:eastAsia="Times New Roman" w:hAnsi="Arial" w:cs="Arial"/>
                <w:b/>
                <w:bCs/>
                <w:color w:val="FFFFFF"/>
                <w:sz w:val="18"/>
                <w:szCs w:val="18"/>
              </w:rPr>
              <w:br/>
            </w:r>
            <w:r w:rsidR="00506B7C" w:rsidRPr="00506B7C">
              <w:rPr>
                <w:rFonts w:ascii="Arial" w:eastAsia="Times New Roman" w:hAnsi="Arial" w:cs="Arial"/>
                <w:b/>
                <w:bCs/>
                <w:color w:val="FFFFFF"/>
                <w:sz w:val="18"/>
                <w:szCs w:val="18"/>
              </w:rPr>
              <w:t>1</w:t>
            </w:r>
            <w:r w:rsidR="00502446">
              <w:rPr>
                <w:rFonts w:ascii="Arial" w:eastAsia="Times New Roman" w:hAnsi="Arial" w:cs="Arial"/>
                <w:b/>
                <w:bCs/>
                <w:color w:val="FFFFFF"/>
                <w:sz w:val="18"/>
                <w:szCs w:val="18"/>
              </w:rPr>
              <w:t>–</w:t>
            </w:r>
            <w:r w:rsidR="00506B7C" w:rsidRPr="00506B7C">
              <w:rPr>
                <w:rFonts w:ascii="Arial" w:eastAsia="Times New Roman" w:hAnsi="Arial" w:cs="Arial"/>
                <w:b/>
                <w:bCs/>
                <w:color w:val="FFFFFF"/>
                <w:sz w:val="18"/>
                <w:szCs w:val="18"/>
              </w:rPr>
              <w:t xml:space="preserve">6 </w:t>
            </w:r>
            <w:r>
              <w:rPr>
                <w:rFonts w:ascii="Arial" w:eastAsia="Times New Roman" w:hAnsi="Arial" w:cs="Arial"/>
                <w:b/>
                <w:bCs/>
                <w:color w:val="FFFFFF"/>
                <w:sz w:val="18"/>
                <w:szCs w:val="18"/>
              </w:rPr>
              <w:t>PM</w:t>
            </w:r>
          </w:p>
        </w:tc>
        <w:tc>
          <w:tcPr>
            <w:tcW w:w="1078"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506B7C" w:rsidRPr="00506B7C" w:rsidRDefault="00506B7C" w:rsidP="007E27F3">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MW</w:t>
            </w:r>
            <w:r w:rsidR="007E27F3">
              <w:rPr>
                <w:rFonts w:ascii="Arial" w:eastAsia="Times New Roman" w:hAnsi="Arial" w:cs="Arial"/>
                <w:b/>
                <w:bCs/>
                <w:color w:val="FFFFFF"/>
                <w:sz w:val="18"/>
                <w:szCs w:val="18"/>
              </w:rPr>
              <w:br/>
            </w:r>
            <w:r w:rsidRPr="00506B7C">
              <w:rPr>
                <w:rFonts w:ascii="Arial" w:eastAsia="Times New Roman" w:hAnsi="Arial" w:cs="Arial"/>
                <w:b/>
                <w:bCs/>
                <w:color w:val="FFFFFF"/>
                <w:sz w:val="18"/>
                <w:szCs w:val="18"/>
              </w:rPr>
              <w:t>1</w:t>
            </w:r>
            <w:r w:rsidR="00502446">
              <w:rPr>
                <w:rFonts w:ascii="Arial" w:eastAsia="Times New Roman" w:hAnsi="Arial" w:cs="Arial"/>
                <w:b/>
                <w:bCs/>
                <w:color w:val="FFFFFF"/>
                <w:sz w:val="18"/>
                <w:szCs w:val="18"/>
              </w:rPr>
              <w:t>–</w:t>
            </w:r>
            <w:r w:rsidRPr="00506B7C">
              <w:rPr>
                <w:rFonts w:ascii="Arial" w:eastAsia="Times New Roman" w:hAnsi="Arial" w:cs="Arial"/>
                <w:b/>
                <w:bCs/>
                <w:color w:val="FFFFFF"/>
                <w:sz w:val="18"/>
                <w:szCs w:val="18"/>
              </w:rPr>
              <w:t xml:space="preserve">6 </w:t>
            </w:r>
            <w:r w:rsidR="007E27F3">
              <w:rPr>
                <w:rFonts w:ascii="Arial" w:eastAsia="Times New Roman" w:hAnsi="Arial" w:cs="Arial"/>
                <w:b/>
                <w:bCs/>
                <w:color w:val="FFFFFF"/>
                <w:sz w:val="18"/>
                <w:szCs w:val="18"/>
              </w:rPr>
              <w:t>PM</w:t>
            </w:r>
          </w:p>
        </w:tc>
        <w:tc>
          <w:tcPr>
            <w:tcW w:w="1231"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506B7C" w:rsidRPr="00506B7C" w:rsidRDefault="007E27F3" w:rsidP="007E27F3">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MW</w:t>
            </w:r>
            <w:r>
              <w:rPr>
                <w:rFonts w:ascii="Arial" w:eastAsia="Times New Roman" w:hAnsi="Arial" w:cs="Arial"/>
                <w:b/>
                <w:bCs/>
                <w:color w:val="FFFFFF"/>
                <w:sz w:val="18"/>
                <w:szCs w:val="18"/>
              </w:rPr>
              <w:br/>
            </w:r>
            <w:r w:rsidR="00506B7C" w:rsidRPr="00506B7C">
              <w:rPr>
                <w:rFonts w:ascii="Arial" w:eastAsia="Times New Roman" w:hAnsi="Arial" w:cs="Arial"/>
                <w:b/>
                <w:bCs/>
                <w:color w:val="FFFFFF"/>
                <w:sz w:val="18"/>
                <w:szCs w:val="18"/>
              </w:rPr>
              <w:t>1</w:t>
            </w:r>
            <w:r w:rsidR="00502446">
              <w:rPr>
                <w:rFonts w:ascii="Arial" w:eastAsia="Times New Roman" w:hAnsi="Arial" w:cs="Arial"/>
                <w:b/>
                <w:bCs/>
                <w:color w:val="FFFFFF"/>
                <w:sz w:val="18"/>
                <w:szCs w:val="18"/>
              </w:rPr>
              <w:t>–</w:t>
            </w:r>
            <w:r w:rsidR="00506B7C" w:rsidRPr="00506B7C">
              <w:rPr>
                <w:rFonts w:ascii="Arial" w:eastAsia="Times New Roman" w:hAnsi="Arial" w:cs="Arial"/>
                <w:b/>
                <w:bCs/>
                <w:color w:val="FFFFFF"/>
                <w:sz w:val="18"/>
                <w:szCs w:val="18"/>
              </w:rPr>
              <w:t xml:space="preserve">6 </w:t>
            </w:r>
            <w:r>
              <w:rPr>
                <w:rFonts w:ascii="Arial" w:eastAsia="Times New Roman" w:hAnsi="Arial" w:cs="Arial"/>
                <w:b/>
                <w:bCs/>
                <w:color w:val="FFFFFF"/>
                <w:sz w:val="18"/>
                <w:szCs w:val="18"/>
              </w:rPr>
              <w:t>PM</w:t>
            </w:r>
          </w:p>
        </w:tc>
        <w:tc>
          <w:tcPr>
            <w:tcW w:w="1191" w:type="dxa"/>
            <w:tcBorders>
              <w:top w:val="single" w:sz="4" w:space="0" w:color="FFFFFF" w:themeColor="background1"/>
              <w:left w:val="single" w:sz="4" w:space="0" w:color="FFFFFF" w:themeColor="background1"/>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(°F)</w:t>
            </w:r>
          </w:p>
        </w:tc>
      </w:tr>
      <w:tr w:rsidR="00506B7C" w:rsidRPr="00506B7C" w:rsidTr="007E27F3">
        <w:trPr>
          <w:trHeight w:val="360"/>
        </w:trPr>
        <w:tc>
          <w:tcPr>
            <w:tcW w:w="1043" w:type="dxa"/>
            <w:vMerge w:val="restart"/>
            <w:shd w:val="clear" w:color="auto" w:fill="auto"/>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1-in-10 August System Peak Day</w:t>
            </w: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2012</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210</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19.7</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18.6</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5.5%</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96.9</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2013</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227</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21.1</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19.9</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5.5%</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97.0</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2014</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227</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21.1</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19.9</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5.5%</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97.0</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2015</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11,727</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395.5</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372.6</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22.9</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5.8%</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98.1</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2016</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17,017</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577.5</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543.4</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34.0</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5.9%</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97.4</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2017</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30,658</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1,085.9</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1,020.1</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65.8</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96.4</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2018</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28,408</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1,002.0</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941.5</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60.5</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6.0%</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96.6</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2019</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28,627</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1,009.7</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948.7</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61.0</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6.0%</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96.6</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2020</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28,872</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1,018.3</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956.8</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61.5</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6.0%</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96.6</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2021</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29,114</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1,026.8</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964.8</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62.0</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6.0%</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96.6</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2022</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29,350</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1,035.0</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972.5</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62.5</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6.0%</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96.6</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2023</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29,575</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1,043.0</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980.0</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63.0</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6.0%</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96.6</w:t>
            </w:r>
          </w:p>
        </w:tc>
      </w:tr>
      <w:tr w:rsidR="00506B7C" w:rsidRPr="00506B7C" w:rsidTr="007E27F3">
        <w:trPr>
          <w:trHeight w:val="360"/>
        </w:trPr>
        <w:tc>
          <w:tcPr>
            <w:tcW w:w="1043" w:type="dxa"/>
            <w:vMerge w:val="restart"/>
            <w:shd w:val="clear" w:color="auto" w:fill="auto"/>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1-in-2 August System Peak Day</w:t>
            </w: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2012</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210</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21.2</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20.4</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0.8</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4.0%</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94.8</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2013</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227</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22.7</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21.8</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0.9</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4.0%</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94.9</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2014</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227</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22.7</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21.8</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0.9</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4.0%</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94.9</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2015</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11,727</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400.0</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376.2</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23.8</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6.0%</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94.5</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2016</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17,017</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585.2</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550.3</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34.9</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6.0%</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94.3</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2017</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30,658</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1,101.6</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1,034.6</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67.0</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94.0</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2018</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28,408</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1,016.2</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954.4</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61.7</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94.0</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2019</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28,627</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1,024.0</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961.8</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62.2</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94.0</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2020</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28,872</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1,032.7</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969.9</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62.7</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94.0</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2021</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29,114</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1,041.3</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978.1</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63.2</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94.0</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2022</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29,350</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1,049.7</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986.0</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63.7</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94.0</w:t>
            </w:r>
          </w:p>
        </w:tc>
      </w:tr>
      <w:tr w:rsidR="00506B7C" w:rsidRPr="00506B7C" w:rsidTr="007E27F3">
        <w:trPr>
          <w:trHeight w:val="360"/>
        </w:trPr>
        <w:tc>
          <w:tcPr>
            <w:tcW w:w="1043" w:type="dxa"/>
            <w:vMerge/>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079"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2023</w:t>
            </w:r>
          </w:p>
        </w:tc>
        <w:tc>
          <w:tcPr>
            <w:tcW w:w="1392"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29,575</w:t>
            </w:r>
          </w:p>
        </w:tc>
        <w:tc>
          <w:tcPr>
            <w:tcW w:w="1304"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1,057.7</w:t>
            </w:r>
          </w:p>
        </w:tc>
        <w:tc>
          <w:tcPr>
            <w:tcW w:w="125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993.5</w:t>
            </w:r>
          </w:p>
        </w:tc>
        <w:tc>
          <w:tcPr>
            <w:tcW w:w="1078"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64.2</w:t>
            </w:r>
          </w:p>
        </w:tc>
        <w:tc>
          <w:tcPr>
            <w:tcW w:w="123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w:t>
            </w:r>
          </w:p>
        </w:tc>
        <w:tc>
          <w:tcPr>
            <w:tcW w:w="1191" w:type="dxa"/>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94.0</w:t>
            </w:r>
          </w:p>
        </w:tc>
      </w:tr>
    </w:tbl>
    <w:p w:rsidR="00EF76C3" w:rsidRDefault="00EF76C3" w:rsidP="00A907B2">
      <w:pPr>
        <w:pStyle w:val="Heading3"/>
        <w:spacing w:before="360"/>
        <w:ind w:left="1354" w:hanging="994"/>
      </w:pPr>
      <w:bookmarkStart w:id="182" w:name="_Toc289093918"/>
      <w:bookmarkStart w:id="183" w:name="_Toc289094006"/>
      <w:bookmarkStart w:id="184" w:name="_Toc289112743"/>
      <w:bookmarkStart w:id="185" w:name="_Toc289178035"/>
      <w:bookmarkStart w:id="186" w:name="_Toc326072135"/>
      <w:bookmarkStart w:id="187" w:name="_Toc350845371"/>
      <w:bookmarkStart w:id="188" w:name="_Toc352323659"/>
      <w:bookmarkEnd w:id="182"/>
      <w:bookmarkEnd w:id="183"/>
      <w:bookmarkEnd w:id="184"/>
      <w:r>
        <w:t xml:space="preserve">Ex Ante </w:t>
      </w:r>
      <w:r w:rsidRPr="00497509">
        <w:t>Load</w:t>
      </w:r>
      <w:r>
        <w:t xml:space="preserve"> Impact Uncertainty</w:t>
      </w:r>
      <w:bookmarkEnd w:id="185"/>
      <w:bookmarkEnd w:id="186"/>
      <w:bookmarkEnd w:id="187"/>
      <w:bookmarkEnd w:id="188"/>
      <w:r>
        <w:t xml:space="preserve"> </w:t>
      </w:r>
    </w:p>
    <w:p w:rsidR="00094E3A" w:rsidRDefault="00EF76C3" w:rsidP="00094E3A">
      <w:pPr>
        <w:pStyle w:val="BodyParagraph"/>
      </w:pPr>
      <w:r w:rsidRPr="00862A0E">
        <w:t>Underlying the impact</w:t>
      </w:r>
      <w:r>
        <w:t xml:space="preserve"> estimate</w:t>
      </w:r>
      <w:r w:rsidRPr="00862A0E">
        <w:t>s</w:t>
      </w:r>
      <w:r>
        <w:t xml:space="preserve"> summarized above </w:t>
      </w:r>
      <w:r w:rsidRPr="00862A0E">
        <w:t xml:space="preserve">is a </w:t>
      </w:r>
      <w:r>
        <w:t>significant amoun</w:t>
      </w:r>
      <w:r w:rsidRPr="00862A0E">
        <w:t>t of uncertainty.</w:t>
      </w:r>
      <w:r>
        <w:t xml:space="preserve">  Table 7-8 summarizes the</w:t>
      </w:r>
      <w:r w:rsidR="00094E3A">
        <w:t xml:space="preserve"> statistical</w:t>
      </w:r>
      <w:r>
        <w:t xml:space="preserve"> uncertainty in the ex ante annual system peak load impact estimates for medium customers.</w:t>
      </w:r>
      <w:r w:rsidRPr="00862A0E">
        <w:t xml:space="preserve">  </w:t>
      </w:r>
      <w:r w:rsidR="00094E3A">
        <w:t>It does not, however, reflect the largest source</w:t>
      </w:r>
      <w:r w:rsidR="0054710A">
        <w:t>s</w:t>
      </w:r>
      <w:r w:rsidR="00497509">
        <w:t xml:space="preserve"> of</w:t>
      </w:r>
      <w:r w:rsidR="00094E3A">
        <w:t xml:space="preserve"> uncertainty</w:t>
      </w:r>
      <w:r w:rsidR="0054710A">
        <w:t xml:space="preserve">: enrollment </w:t>
      </w:r>
      <w:r w:rsidR="00506B7C">
        <w:t>uncertainty</w:t>
      </w:r>
      <w:r w:rsidR="0054710A">
        <w:t xml:space="preserve"> and the assumption that we can infer medium customers</w:t>
      </w:r>
      <w:r w:rsidR="00497509">
        <w:t>'</w:t>
      </w:r>
      <w:r w:rsidR="0054710A">
        <w:t xml:space="preserve"> price responsiveness based on</w:t>
      </w:r>
      <w:r w:rsidR="00497509">
        <w:t> </w:t>
      </w:r>
      <w:r w:rsidR="0054710A">
        <w:t xml:space="preserve">current participants, after adjusting for differences in the industry mix. </w:t>
      </w:r>
      <w:r w:rsidR="00094E3A">
        <w:t xml:space="preserve"> </w:t>
      </w:r>
    </w:p>
    <w:p w:rsidR="0054710A" w:rsidRDefault="00EF76C3" w:rsidP="00094E3A">
      <w:pPr>
        <w:pStyle w:val="BodyParagraph"/>
      </w:pPr>
      <w:r>
        <w:lastRenderedPageBreak/>
        <w:t>Very few medium customers are currently enrolled in CPP.  Enrollments are projected to remain around 200 customers until November 2014 when medium customers will begin to be defaulted onto</w:t>
      </w:r>
      <w:r w:rsidR="00497509">
        <w:t> </w:t>
      </w:r>
      <w:r>
        <w:t>CPP. For 201</w:t>
      </w:r>
      <w:r w:rsidR="0054710A">
        <w:t>7</w:t>
      </w:r>
      <w:r w:rsidRPr="00225A57">
        <w:t>, the 80% confidence interval for</w:t>
      </w:r>
      <w:r>
        <w:t xml:space="preserve"> 1-in-2 impacts ranges from </w:t>
      </w:r>
      <w:r w:rsidR="0054710A">
        <w:t>61</w:t>
      </w:r>
      <w:r>
        <w:t xml:space="preserve"> MW up to </w:t>
      </w:r>
      <w:r w:rsidR="0054710A">
        <w:t>73</w:t>
      </w:r>
      <w:r w:rsidRPr="00225A57">
        <w:t xml:space="preserve"> </w:t>
      </w:r>
      <w:r>
        <w:t>MW</w:t>
      </w:r>
      <w:r w:rsidR="0054710A">
        <w:t>.</w:t>
      </w:r>
    </w:p>
    <w:p w:rsidR="00EF76C3" w:rsidRPr="00626371" w:rsidRDefault="00EF76C3" w:rsidP="00626371">
      <w:pPr>
        <w:pStyle w:val="TableFigureCaption"/>
      </w:pPr>
      <w:r w:rsidRPr="00626371">
        <w:t>Table 7-8:</w:t>
      </w:r>
      <w:r w:rsidR="00626371" w:rsidRPr="00626371">
        <w:t xml:space="preserve"> </w:t>
      </w:r>
      <w:r w:rsidR="003F699E">
        <w:t>Program Annual Peak Day Load Impacts for Medium Customers with Uncertainty</w:t>
      </w:r>
      <w:r w:rsidR="003F699E">
        <w:br/>
        <w:t>(Hourly Average Reduction in MW Over Event Day Period 1</w:t>
      </w:r>
      <w:r w:rsidR="00502446">
        <w:t>–</w:t>
      </w:r>
      <w:r w:rsidR="003F699E">
        <w:t>6 PM)</w:t>
      </w:r>
    </w:p>
    <w:tbl>
      <w:tblPr>
        <w:tblW w:w="5000" w:type="pct"/>
        <w:tblLook w:val="04A0" w:firstRow="1" w:lastRow="0" w:firstColumn="1" w:lastColumn="0" w:noHBand="0" w:noVBand="1"/>
      </w:tblPr>
      <w:tblGrid>
        <w:gridCol w:w="1154"/>
        <w:gridCol w:w="1193"/>
        <w:gridCol w:w="1264"/>
        <w:gridCol w:w="1193"/>
        <w:gridCol w:w="1193"/>
        <w:gridCol w:w="1193"/>
        <w:gridCol w:w="1193"/>
        <w:gridCol w:w="1193"/>
      </w:tblGrid>
      <w:tr w:rsidR="00506B7C" w:rsidRPr="00506B7C" w:rsidTr="00506B7C">
        <w:trPr>
          <w:trHeight w:val="720"/>
        </w:trPr>
        <w:tc>
          <w:tcPr>
            <w:tcW w:w="602" w:type="pct"/>
            <w:vMerge w:val="restart"/>
            <w:tcBorders>
              <w:top w:val="single" w:sz="4" w:space="0" w:color="1F497D"/>
              <w:left w:val="single" w:sz="4" w:space="0" w:color="1F497D"/>
              <w:bottom w:val="single" w:sz="4" w:space="0" w:color="FFFFFF"/>
              <w:right w:val="single" w:sz="4" w:space="0" w:color="FFFFFF"/>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Weather Year</w:t>
            </w:r>
          </w:p>
        </w:tc>
        <w:tc>
          <w:tcPr>
            <w:tcW w:w="623" w:type="pct"/>
            <w:vMerge w:val="restart"/>
            <w:tcBorders>
              <w:top w:val="single" w:sz="4" w:space="0" w:color="1F497D"/>
              <w:left w:val="single" w:sz="4" w:space="0" w:color="FFFFFF"/>
              <w:bottom w:val="single" w:sz="4" w:space="0" w:color="FFFFFF"/>
              <w:right w:val="single" w:sz="4" w:space="0" w:color="FFFFFF"/>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Year</w:t>
            </w:r>
          </w:p>
        </w:tc>
        <w:tc>
          <w:tcPr>
            <w:tcW w:w="660" w:type="pct"/>
            <w:tcBorders>
              <w:top w:val="single" w:sz="4" w:space="0" w:color="1F497D"/>
              <w:left w:val="single" w:sz="4" w:space="0" w:color="FFFFFF"/>
              <w:bottom w:val="nil"/>
              <w:right w:val="single" w:sz="4" w:space="0" w:color="FFFFFF"/>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Expected Avg. Load Impact</w:t>
            </w:r>
          </w:p>
        </w:tc>
        <w:tc>
          <w:tcPr>
            <w:tcW w:w="3115" w:type="pct"/>
            <w:gridSpan w:val="5"/>
            <w:tcBorders>
              <w:top w:val="single" w:sz="4" w:space="0" w:color="1F497D"/>
              <w:left w:val="nil"/>
              <w:bottom w:val="single" w:sz="4" w:space="0" w:color="FFFFFF"/>
              <w:right w:val="single" w:sz="4" w:space="0" w:color="1F497D"/>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Impact Uncertainty</w:t>
            </w:r>
          </w:p>
        </w:tc>
      </w:tr>
      <w:tr w:rsidR="00506B7C" w:rsidRPr="00506B7C" w:rsidTr="00506B7C">
        <w:trPr>
          <w:trHeight w:val="480"/>
        </w:trPr>
        <w:tc>
          <w:tcPr>
            <w:tcW w:w="602" w:type="pct"/>
            <w:vMerge/>
            <w:tcBorders>
              <w:top w:val="single" w:sz="4" w:space="0" w:color="1F497D"/>
              <w:left w:val="single" w:sz="4" w:space="0" w:color="1F497D"/>
              <w:bottom w:val="single" w:sz="4" w:space="0" w:color="FFFFFF"/>
              <w:right w:val="single" w:sz="4" w:space="0" w:color="FFFFFF"/>
            </w:tcBorders>
            <w:vAlign w:val="center"/>
            <w:hideMark/>
          </w:tcPr>
          <w:p w:rsidR="00506B7C" w:rsidRPr="00506B7C" w:rsidRDefault="00506B7C" w:rsidP="00506B7C">
            <w:pPr>
              <w:spacing w:after="0" w:line="240" w:lineRule="auto"/>
              <w:rPr>
                <w:rFonts w:ascii="Arial" w:eastAsia="Times New Roman" w:hAnsi="Arial" w:cs="Arial"/>
                <w:b/>
                <w:bCs/>
                <w:color w:val="FFFFFF"/>
                <w:sz w:val="18"/>
                <w:szCs w:val="18"/>
              </w:rPr>
            </w:pPr>
          </w:p>
        </w:tc>
        <w:tc>
          <w:tcPr>
            <w:tcW w:w="623" w:type="pct"/>
            <w:vMerge/>
            <w:tcBorders>
              <w:top w:val="single" w:sz="4" w:space="0" w:color="1F497D"/>
              <w:left w:val="single" w:sz="4" w:space="0" w:color="FFFFFF"/>
              <w:bottom w:val="single" w:sz="4" w:space="0" w:color="FFFFFF"/>
              <w:right w:val="single" w:sz="4" w:space="0" w:color="FFFFFF"/>
            </w:tcBorders>
            <w:vAlign w:val="center"/>
            <w:hideMark/>
          </w:tcPr>
          <w:p w:rsidR="00506B7C" w:rsidRPr="00506B7C" w:rsidRDefault="00506B7C" w:rsidP="00506B7C">
            <w:pPr>
              <w:spacing w:after="0" w:line="240" w:lineRule="auto"/>
              <w:rPr>
                <w:rFonts w:ascii="Arial" w:eastAsia="Times New Roman" w:hAnsi="Arial" w:cs="Arial"/>
                <w:b/>
                <w:bCs/>
                <w:color w:val="FFFFFF"/>
                <w:sz w:val="18"/>
                <w:szCs w:val="18"/>
              </w:rPr>
            </w:pPr>
          </w:p>
        </w:tc>
        <w:tc>
          <w:tcPr>
            <w:tcW w:w="660" w:type="pct"/>
            <w:tcBorders>
              <w:top w:val="single" w:sz="4" w:space="0" w:color="FFFFFF"/>
              <w:left w:val="single" w:sz="4" w:space="0" w:color="FFFFFF"/>
              <w:bottom w:val="single" w:sz="4" w:space="0" w:color="auto"/>
              <w:right w:val="nil"/>
            </w:tcBorders>
            <w:shd w:val="clear" w:color="000000" w:fill="1F497D"/>
            <w:vAlign w:val="center"/>
            <w:hideMark/>
          </w:tcPr>
          <w:p w:rsidR="00506B7C" w:rsidRPr="00506B7C" w:rsidRDefault="00506B7C" w:rsidP="007E27F3">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MW</w:t>
            </w:r>
            <w:r w:rsidR="007E27F3">
              <w:rPr>
                <w:rFonts w:ascii="Arial" w:eastAsia="Times New Roman" w:hAnsi="Arial" w:cs="Arial"/>
                <w:b/>
                <w:bCs/>
                <w:color w:val="FFFFFF"/>
                <w:sz w:val="18"/>
                <w:szCs w:val="18"/>
              </w:rPr>
              <w:br/>
            </w:r>
            <w:r w:rsidRPr="00506B7C">
              <w:rPr>
                <w:rFonts w:ascii="Arial" w:eastAsia="Times New Roman" w:hAnsi="Arial" w:cs="Arial"/>
                <w:b/>
                <w:bCs/>
                <w:color w:val="FFFFFF"/>
                <w:sz w:val="18"/>
                <w:szCs w:val="18"/>
              </w:rPr>
              <w:t>1</w:t>
            </w:r>
            <w:r w:rsidR="00502446">
              <w:rPr>
                <w:rFonts w:ascii="Arial" w:eastAsia="Times New Roman" w:hAnsi="Arial" w:cs="Arial"/>
                <w:b/>
                <w:bCs/>
                <w:color w:val="FFFFFF"/>
                <w:sz w:val="18"/>
                <w:szCs w:val="18"/>
              </w:rPr>
              <w:t>–</w:t>
            </w:r>
            <w:r w:rsidRPr="00506B7C">
              <w:rPr>
                <w:rFonts w:ascii="Arial" w:eastAsia="Times New Roman" w:hAnsi="Arial" w:cs="Arial"/>
                <w:b/>
                <w:bCs/>
                <w:color w:val="FFFFFF"/>
                <w:sz w:val="18"/>
                <w:szCs w:val="18"/>
              </w:rPr>
              <w:t xml:space="preserve">6 </w:t>
            </w:r>
            <w:r w:rsidR="007E27F3">
              <w:rPr>
                <w:rFonts w:ascii="Arial" w:eastAsia="Times New Roman" w:hAnsi="Arial" w:cs="Arial"/>
                <w:b/>
                <w:bCs/>
                <w:color w:val="FFFFFF"/>
                <w:sz w:val="18"/>
                <w:szCs w:val="18"/>
              </w:rPr>
              <w:t>PM</w:t>
            </w:r>
          </w:p>
        </w:tc>
        <w:tc>
          <w:tcPr>
            <w:tcW w:w="623" w:type="pct"/>
            <w:tcBorders>
              <w:top w:val="nil"/>
              <w:left w:val="single" w:sz="4" w:space="0" w:color="FFFFFF"/>
              <w:bottom w:val="single" w:sz="4" w:space="0" w:color="auto"/>
              <w:right w:val="single" w:sz="4" w:space="0" w:color="FFFFFF"/>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10</w:t>
            </w:r>
            <w:r w:rsidRPr="00506B7C">
              <w:rPr>
                <w:rFonts w:ascii="Arial" w:eastAsia="Times New Roman" w:hAnsi="Arial" w:cs="Arial"/>
                <w:b/>
                <w:bCs/>
                <w:color w:val="FFFFFF"/>
                <w:sz w:val="18"/>
                <w:szCs w:val="18"/>
                <w:vertAlign w:val="superscript"/>
              </w:rPr>
              <w:t>th</w:t>
            </w:r>
          </w:p>
        </w:tc>
        <w:tc>
          <w:tcPr>
            <w:tcW w:w="623" w:type="pct"/>
            <w:tcBorders>
              <w:top w:val="nil"/>
              <w:left w:val="nil"/>
              <w:bottom w:val="nil"/>
              <w:right w:val="single" w:sz="4" w:space="0" w:color="FFFFFF"/>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30</w:t>
            </w:r>
            <w:r w:rsidRPr="00506B7C">
              <w:rPr>
                <w:rFonts w:ascii="Arial" w:eastAsia="Times New Roman" w:hAnsi="Arial" w:cs="Arial"/>
                <w:b/>
                <w:bCs/>
                <w:color w:val="FFFFFF"/>
                <w:sz w:val="18"/>
                <w:szCs w:val="18"/>
                <w:vertAlign w:val="superscript"/>
              </w:rPr>
              <w:t>th</w:t>
            </w:r>
          </w:p>
        </w:tc>
        <w:tc>
          <w:tcPr>
            <w:tcW w:w="623" w:type="pct"/>
            <w:tcBorders>
              <w:top w:val="nil"/>
              <w:left w:val="nil"/>
              <w:bottom w:val="nil"/>
              <w:right w:val="single" w:sz="4" w:space="0" w:color="FFFFFF"/>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50</w:t>
            </w:r>
            <w:r w:rsidRPr="00506B7C">
              <w:rPr>
                <w:rFonts w:ascii="Arial" w:eastAsia="Times New Roman" w:hAnsi="Arial" w:cs="Arial"/>
                <w:b/>
                <w:bCs/>
                <w:color w:val="FFFFFF"/>
                <w:sz w:val="18"/>
                <w:szCs w:val="18"/>
                <w:vertAlign w:val="superscript"/>
              </w:rPr>
              <w:t>th</w:t>
            </w:r>
          </w:p>
        </w:tc>
        <w:tc>
          <w:tcPr>
            <w:tcW w:w="623" w:type="pct"/>
            <w:tcBorders>
              <w:top w:val="nil"/>
              <w:left w:val="nil"/>
              <w:bottom w:val="nil"/>
              <w:right w:val="single" w:sz="4" w:space="0" w:color="FFFFFF"/>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70</w:t>
            </w:r>
            <w:r w:rsidRPr="00506B7C">
              <w:rPr>
                <w:rFonts w:ascii="Arial" w:eastAsia="Times New Roman" w:hAnsi="Arial" w:cs="Arial"/>
                <w:b/>
                <w:bCs/>
                <w:color w:val="FFFFFF"/>
                <w:sz w:val="18"/>
                <w:szCs w:val="18"/>
                <w:vertAlign w:val="superscript"/>
              </w:rPr>
              <w:t>th</w:t>
            </w:r>
          </w:p>
        </w:tc>
        <w:tc>
          <w:tcPr>
            <w:tcW w:w="623" w:type="pct"/>
            <w:tcBorders>
              <w:top w:val="nil"/>
              <w:left w:val="nil"/>
              <w:bottom w:val="single" w:sz="4" w:space="0" w:color="auto"/>
              <w:right w:val="single" w:sz="4" w:space="0" w:color="auto"/>
            </w:tcBorders>
            <w:shd w:val="clear" w:color="000000" w:fill="1F497D"/>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90</w:t>
            </w:r>
            <w:r w:rsidRPr="00506B7C">
              <w:rPr>
                <w:rFonts w:ascii="Arial" w:eastAsia="Times New Roman" w:hAnsi="Arial" w:cs="Arial"/>
                <w:b/>
                <w:bCs/>
                <w:color w:val="FFFFFF"/>
                <w:sz w:val="18"/>
                <w:szCs w:val="18"/>
                <w:vertAlign w:val="superscript"/>
              </w:rPr>
              <w:t>th</w:t>
            </w:r>
          </w:p>
        </w:tc>
      </w:tr>
      <w:tr w:rsidR="00506B7C" w:rsidRPr="00506B7C" w:rsidTr="00506B7C">
        <w:trPr>
          <w:trHeight w:val="282"/>
        </w:trPr>
        <w:tc>
          <w:tcPr>
            <w:tcW w:w="6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1-in-10 August System Peak Day</w:t>
            </w:r>
          </w:p>
        </w:tc>
        <w:tc>
          <w:tcPr>
            <w:tcW w:w="623" w:type="pct"/>
            <w:tcBorders>
              <w:top w:val="single" w:sz="4" w:space="0" w:color="auto"/>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2012</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0.5</w:t>
            </w:r>
          </w:p>
        </w:tc>
        <w:tc>
          <w:tcPr>
            <w:tcW w:w="623" w:type="pct"/>
            <w:tcBorders>
              <w:top w:val="single" w:sz="4" w:space="0" w:color="auto"/>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0.9</w:t>
            </w:r>
          </w:p>
        </w:tc>
        <w:tc>
          <w:tcPr>
            <w:tcW w:w="623" w:type="pct"/>
            <w:tcBorders>
              <w:top w:val="single" w:sz="4" w:space="0" w:color="auto"/>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w:t>
            </w:r>
          </w:p>
        </w:tc>
        <w:tc>
          <w:tcPr>
            <w:tcW w:w="623" w:type="pct"/>
            <w:tcBorders>
              <w:top w:val="single" w:sz="4" w:space="0" w:color="auto"/>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1.3</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1.6</w:t>
            </w:r>
          </w:p>
        </w:tc>
      </w:tr>
      <w:tr w:rsidR="00506B7C" w:rsidRPr="00506B7C" w:rsidTr="00506B7C">
        <w:trPr>
          <w:trHeight w:val="282"/>
        </w:trPr>
        <w:tc>
          <w:tcPr>
            <w:tcW w:w="602" w:type="pct"/>
            <w:vMerge/>
            <w:tcBorders>
              <w:top w:val="single" w:sz="4" w:space="0" w:color="auto"/>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2013</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0.6</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1.7</w:t>
            </w:r>
          </w:p>
        </w:tc>
      </w:tr>
      <w:tr w:rsidR="00506B7C" w:rsidRPr="00506B7C" w:rsidTr="00506B7C">
        <w:trPr>
          <w:trHeight w:val="282"/>
        </w:trPr>
        <w:tc>
          <w:tcPr>
            <w:tcW w:w="602" w:type="pct"/>
            <w:vMerge/>
            <w:tcBorders>
              <w:top w:val="single" w:sz="4" w:space="0" w:color="auto"/>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2014</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0.6</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1.7</w:t>
            </w:r>
          </w:p>
        </w:tc>
      </w:tr>
      <w:tr w:rsidR="00506B7C" w:rsidRPr="00506B7C" w:rsidTr="00506B7C">
        <w:trPr>
          <w:trHeight w:val="282"/>
        </w:trPr>
        <w:tc>
          <w:tcPr>
            <w:tcW w:w="602" w:type="pct"/>
            <w:vMerge/>
            <w:tcBorders>
              <w:top w:val="single" w:sz="4" w:space="0" w:color="auto"/>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2015</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18.8</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24.5</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26.9</w:t>
            </w:r>
          </w:p>
        </w:tc>
      </w:tr>
      <w:tr w:rsidR="00506B7C" w:rsidRPr="00506B7C" w:rsidTr="00506B7C">
        <w:trPr>
          <w:trHeight w:val="282"/>
        </w:trPr>
        <w:tc>
          <w:tcPr>
            <w:tcW w:w="602" w:type="pct"/>
            <w:vMerge/>
            <w:tcBorders>
              <w:top w:val="single" w:sz="4" w:space="0" w:color="auto"/>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2016</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34.0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28.3</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31.7</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34.0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36.4</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39.7</w:t>
            </w:r>
          </w:p>
        </w:tc>
      </w:tr>
      <w:tr w:rsidR="00506B7C" w:rsidRPr="00506B7C" w:rsidTr="00506B7C">
        <w:trPr>
          <w:trHeight w:val="282"/>
        </w:trPr>
        <w:tc>
          <w:tcPr>
            <w:tcW w:w="602" w:type="pct"/>
            <w:vMerge/>
            <w:tcBorders>
              <w:top w:val="single" w:sz="4" w:space="0" w:color="auto"/>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2017</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65.8</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55.0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61.4</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65.8</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70.2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76.6</w:t>
            </w:r>
          </w:p>
        </w:tc>
      </w:tr>
      <w:tr w:rsidR="00506B7C" w:rsidRPr="00506B7C" w:rsidTr="00506B7C">
        <w:trPr>
          <w:trHeight w:val="282"/>
        </w:trPr>
        <w:tc>
          <w:tcPr>
            <w:tcW w:w="602" w:type="pct"/>
            <w:vMerge/>
            <w:tcBorders>
              <w:top w:val="single" w:sz="4" w:space="0" w:color="auto"/>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2018</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60.5</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50.5</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56.4</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60.5</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64.6</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70.5</w:t>
            </w:r>
          </w:p>
        </w:tc>
      </w:tr>
      <w:tr w:rsidR="00506B7C" w:rsidRPr="00506B7C" w:rsidTr="00506B7C">
        <w:trPr>
          <w:trHeight w:val="282"/>
        </w:trPr>
        <w:tc>
          <w:tcPr>
            <w:tcW w:w="602" w:type="pct"/>
            <w:vMerge/>
            <w:tcBorders>
              <w:top w:val="single" w:sz="4" w:space="0" w:color="auto"/>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2019</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50.9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56.9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65.1</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71.0</w:t>
            </w:r>
          </w:p>
        </w:tc>
      </w:tr>
      <w:tr w:rsidR="00506B7C" w:rsidRPr="00506B7C" w:rsidTr="00506B7C">
        <w:trPr>
          <w:trHeight w:val="282"/>
        </w:trPr>
        <w:tc>
          <w:tcPr>
            <w:tcW w:w="602" w:type="pct"/>
            <w:vMerge/>
            <w:tcBorders>
              <w:top w:val="single" w:sz="4" w:space="0" w:color="auto"/>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2020</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61.5</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51.4</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57.3</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61.5</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65.6</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71.6</w:t>
            </w:r>
          </w:p>
        </w:tc>
      </w:tr>
      <w:tr w:rsidR="00506B7C" w:rsidRPr="00506B7C" w:rsidTr="00506B7C">
        <w:trPr>
          <w:trHeight w:val="282"/>
        </w:trPr>
        <w:tc>
          <w:tcPr>
            <w:tcW w:w="602" w:type="pct"/>
            <w:vMerge/>
            <w:tcBorders>
              <w:top w:val="single" w:sz="4" w:space="0" w:color="auto"/>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2021</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62.0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51.8</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57.8</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62.0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66.2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72.2</w:t>
            </w:r>
          </w:p>
        </w:tc>
      </w:tr>
      <w:tr w:rsidR="00506B7C" w:rsidRPr="00506B7C" w:rsidTr="00506B7C">
        <w:trPr>
          <w:trHeight w:val="282"/>
        </w:trPr>
        <w:tc>
          <w:tcPr>
            <w:tcW w:w="602" w:type="pct"/>
            <w:vMerge/>
            <w:tcBorders>
              <w:top w:val="single" w:sz="4" w:space="0" w:color="auto"/>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2022</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62.5</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52.2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58.3</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62.5</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66.7</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72.8</w:t>
            </w:r>
          </w:p>
        </w:tc>
      </w:tr>
      <w:tr w:rsidR="00506B7C" w:rsidRPr="00506B7C" w:rsidTr="00506B7C">
        <w:trPr>
          <w:trHeight w:val="282"/>
        </w:trPr>
        <w:tc>
          <w:tcPr>
            <w:tcW w:w="602" w:type="pct"/>
            <w:vMerge/>
            <w:tcBorders>
              <w:top w:val="single" w:sz="4" w:space="0" w:color="auto"/>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2023</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63.0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52.6</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58.7</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63.0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67.2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73.3</w:t>
            </w:r>
          </w:p>
        </w:tc>
      </w:tr>
      <w:tr w:rsidR="00506B7C" w:rsidRPr="00506B7C" w:rsidTr="00506B7C">
        <w:trPr>
          <w:trHeight w:val="282"/>
        </w:trPr>
        <w:tc>
          <w:tcPr>
            <w:tcW w:w="602" w:type="pct"/>
            <w:vMerge w:val="restart"/>
            <w:tcBorders>
              <w:top w:val="nil"/>
              <w:left w:val="single" w:sz="4" w:space="0" w:color="auto"/>
              <w:bottom w:val="single" w:sz="4" w:space="0" w:color="auto"/>
              <w:right w:val="single" w:sz="4" w:space="0" w:color="auto"/>
            </w:tcBorders>
            <w:shd w:val="clear" w:color="auto" w:fill="auto"/>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1-in-2 August System Peak Day</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2012</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0.8</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0.3</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0.6</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0.8</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r>
      <w:tr w:rsidR="00506B7C" w:rsidRPr="00506B7C" w:rsidTr="00506B7C">
        <w:trPr>
          <w:trHeight w:val="282"/>
        </w:trPr>
        <w:tc>
          <w:tcPr>
            <w:tcW w:w="602" w:type="pct"/>
            <w:vMerge/>
            <w:tcBorders>
              <w:top w:val="nil"/>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2013</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0.3</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0.7</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1.5</w:t>
            </w:r>
          </w:p>
        </w:tc>
      </w:tr>
      <w:tr w:rsidR="00506B7C" w:rsidRPr="00506B7C" w:rsidTr="00506B7C">
        <w:trPr>
          <w:trHeight w:val="282"/>
        </w:trPr>
        <w:tc>
          <w:tcPr>
            <w:tcW w:w="602" w:type="pct"/>
            <w:vMerge/>
            <w:tcBorders>
              <w:top w:val="nil"/>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2014</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0.3</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0.7</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1.5</w:t>
            </w:r>
          </w:p>
        </w:tc>
      </w:tr>
      <w:tr w:rsidR="00506B7C" w:rsidRPr="00506B7C" w:rsidTr="00506B7C">
        <w:trPr>
          <w:trHeight w:val="282"/>
        </w:trPr>
        <w:tc>
          <w:tcPr>
            <w:tcW w:w="602" w:type="pct"/>
            <w:vMerge/>
            <w:tcBorders>
              <w:top w:val="nil"/>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2015</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23.8</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19.6</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22.1</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23.8</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25.5</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28.0</w:t>
            </w:r>
          </w:p>
        </w:tc>
      </w:tr>
      <w:tr w:rsidR="00506B7C" w:rsidRPr="00506B7C" w:rsidTr="00506B7C">
        <w:trPr>
          <w:trHeight w:val="282"/>
        </w:trPr>
        <w:tc>
          <w:tcPr>
            <w:tcW w:w="602" w:type="pct"/>
            <w:vMerge/>
            <w:tcBorders>
              <w:top w:val="nil"/>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2016</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34.9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29.0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32.5</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34.9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37.4</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40.9</w:t>
            </w:r>
          </w:p>
        </w:tc>
      </w:tr>
      <w:tr w:rsidR="00506B7C" w:rsidRPr="00506B7C" w:rsidTr="00506B7C">
        <w:trPr>
          <w:trHeight w:val="282"/>
        </w:trPr>
        <w:tc>
          <w:tcPr>
            <w:tcW w:w="602" w:type="pct"/>
            <w:vMerge/>
            <w:tcBorders>
              <w:top w:val="nil"/>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2017</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67.0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55.8</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62.4</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67.0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71.6</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78.2</w:t>
            </w:r>
          </w:p>
        </w:tc>
      </w:tr>
      <w:tr w:rsidR="00506B7C" w:rsidRPr="00506B7C" w:rsidTr="00506B7C">
        <w:trPr>
          <w:trHeight w:val="282"/>
        </w:trPr>
        <w:tc>
          <w:tcPr>
            <w:tcW w:w="602" w:type="pct"/>
            <w:vMerge/>
            <w:tcBorders>
              <w:top w:val="nil"/>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2018</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61.7</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51.4</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57.5</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61.7</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66.0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72.1</w:t>
            </w:r>
          </w:p>
        </w:tc>
      </w:tr>
      <w:tr w:rsidR="00506B7C" w:rsidRPr="00506B7C" w:rsidTr="00506B7C">
        <w:trPr>
          <w:trHeight w:val="282"/>
        </w:trPr>
        <w:tc>
          <w:tcPr>
            <w:tcW w:w="602" w:type="pct"/>
            <w:vMerge/>
            <w:tcBorders>
              <w:top w:val="nil"/>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2019</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62.2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51.8</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57.9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62.2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66.5</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72.6</w:t>
            </w:r>
          </w:p>
        </w:tc>
      </w:tr>
      <w:tr w:rsidR="00506B7C" w:rsidRPr="00506B7C" w:rsidTr="00506B7C">
        <w:trPr>
          <w:trHeight w:val="282"/>
        </w:trPr>
        <w:tc>
          <w:tcPr>
            <w:tcW w:w="602" w:type="pct"/>
            <w:vMerge/>
            <w:tcBorders>
              <w:top w:val="nil"/>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2020</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62.7</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52.2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58.4</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62.7</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67.0</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73.2</w:t>
            </w:r>
          </w:p>
        </w:tc>
      </w:tr>
      <w:tr w:rsidR="00506B7C" w:rsidRPr="00506B7C" w:rsidTr="00506B7C">
        <w:trPr>
          <w:trHeight w:val="282"/>
        </w:trPr>
        <w:tc>
          <w:tcPr>
            <w:tcW w:w="602" w:type="pct"/>
            <w:vMerge/>
            <w:tcBorders>
              <w:top w:val="nil"/>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2021</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63.2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52.6</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58.9</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63.2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67.6</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73.8</w:t>
            </w:r>
          </w:p>
        </w:tc>
      </w:tr>
      <w:tr w:rsidR="00506B7C" w:rsidRPr="00506B7C" w:rsidTr="00506B7C">
        <w:trPr>
          <w:trHeight w:val="282"/>
        </w:trPr>
        <w:tc>
          <w:tcPr>
            <w:tcW w:w="602" w:type="pct"/>
            <w:vMerge/>
            <w:tcBorders>
              <w:top w:val="nil"/>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2022</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63.7</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53.1</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59.4</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63.7</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68.1</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74.4</w:t>
            </w:r>
          </w:p>
        </w:tc>
      </w:tr>
      <w:tr w:rsidR="00506B7C" w:rsidRPr="00506B7C" w:rsidTr="00506B7C">
        <w:trPr>
          <w:trHeight w:val="282"/>
        </w:trPr>
        <w:tc>
          <w:tcPr>
            <w:tcW w:w="602" w:type="pct"/>
            <w:vMerge/>
            <w:tcBorders>
              <w:top w:val="nil"/>
              <w:left w:val="single" w:sz="4" w:space="0" w:color="auto"/>
              <w:bottom w:val="single" w:sz="4" w:space="0" w:color="auto"/>
              <w:right w:val="single" w:sz="4" w:space="0" w:color="auto"/>
            </w:tcBorders>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2023</w:t>
            </w:r>
          </w:p>
        </w:tc>
        <w:tc>
          <w:tcPr>
            <w:tcW w:w="660"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64.2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53.5</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59.8</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64.2</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68.6</w:t>
            </w:r>
          </w:p>
        </w:tc>
        <w:tc>
          <w:tcPr>
            <w:tcW w:w="623" w:type="pct"/>
            <w:tcBorders>
              <w:top w:val="nil"/>
              <w:left w:val="nil"/>
              <w:bottom w:val="single" w:sz="4" w:space="0" w:color="auto"/>
              <w:right w:val="single" w:sz="4" w:space="0" w:color="auto"/>
            </w:tcBorders>
            <w:shd w:val="clear" w:color="auto" w:fill="auto"/>
            <w:noWrap/>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75.0</w:t>
            </w:r>
          </w:p>
        </w:tc>
      </w:tr>
    </w:tbl>
    <w:p w:rsidR="005D51F9" w:rsidRPr="00A907B2" w:rsidRDefault="00EF76C3" w:rsidP="00A907B2">
      <w:pPr>
        <w:pStyle w:val="Heading3"/>
        <w:spacing w:before="360"/>
        <w:ind w:left="1354" w:hanging="994"/>
      </w:pPr>
      <w:bookmarkStart w:id="189" w:name="_Toc351480975"/>
      <w:bookmarkStart w:id="190" w:name="_Toc351480976"/>
      <w:bookmarkStart w:id="191" w:name="_Toc289093920"/>
      <w:bookmarkStart w:id="192" w:name="_Toc289094008"/>
      <w:bookmarkStart w:id="193" w:name="_Toc289112745"/>
      <w:bookmarkStart w:id="194" w:name="_Toc289178036"/>
      <w:bookmarkStart w:id="195" w:name="_Toc326072136"/>
      <w:bookmarkStart w:id="196" w:name="_Toc350845372"/>
      <w:bookmarkStart w:id="197" w:name="_Toc352323660"/>
      <w:bookmarkEnd w:id="189"/>
      <w:bookmarkEnd w:id="190"/>
      <w:bookmarkEnd w:id="191"/>
      <w:bookmarkEnd w:id="192"/>
      <w:bookmarkEnd w:id="193"/>
      <w:r>
        <w:t>Ex Ante Impacts by Geographic Location</w:t>
      </w:r>
      <w:bookmarkEnd w:id="194"/>
      <w:bookmarkEnd w:id="195"/>
      <w:bookmarkEnd w:id="196"/>
      <w:bookmarkEnd w:id="197"/>
    </w:p>
    <w:p w:rsidR="00EF76C3" w:rsidRDefault="00EF76C3" w:rsidP="00EF76C3">
      <w:pPr>
        <w:pStyle w:val="BodyParagraph"/>
      </w:pPr>
      <w:r>
        <w:t>Table 7-9 summarizes the per customer ex ante impacts for each LCA by month for medium customers.  It shows the per customer impacts for each monthly system peak day under 1-in-2 and 1</w:t>
      </w:r>
      <w:r w:rsidR="00502446">
        <w:noBreakHyphen/>
      </w:r>
      <w:r>
        <w:t>in-10 system peaking conditions</w:t>
      </w:r>
      <w:r w:rsidRPr="00225A57">
        <w:t>.</w:t>
      </w:r>
      <w:r w:rsidR="005563B2">
        <w:t xml:space="preserve">  The variation reflects the weather, size of customers and the industry mix in each of PG&amp;E’s LCAs.</w:t>
      </w:r>
      <w:r w:rsidRPr="00225A57">
        <w:t xml:space="preserve">  </w:t>
      </w:r>
      <w:r>
        <w:t>Impacts are shown for 201</w:t>
      </w:r>
      <w:r w:rsidR="0054710A">
        <w:t>7</w:t>
      </w:r>
      <w:r>
        <w:t xml:space="preserve"> because </w:t>
      </w:r>
      <w:r w:rsidR="0054710A">
        <w:t>default CPP will have been</w:t>
      </w:r>
      <w:r w:rsidR="00497509">
        <w:t> </w:t>
      </w:r>
      <w:r w:rsidR="0054710A">
        <w:t>fully implemented across PG&amp;E’s territory by then</w:t>
      </w:r>
      <w:r>
        <w:t>.</w:t>
      </w:r>
    </w:p>
    <w:p w:rsidR="00EF76C3" w:rsidRDefault="00EF76C3" w:rsidP="00EF76C3">
      <w:pPr>
        <w:pStyle w:val="TableFigureCaption"/>
      </w:pPr>
      <w:r>
        <w:lastRenderedPageBreak/>
        <w:t>Table 7-9</w:t>
      </w:r>
      <w:r w:rsidRPr="00A66E76">
        <w:t>:</w:t>
      </w:r>
      <w:r w:rsidR="00626371">
        <w:t xml:space="preserve"> </w:t>
      </w:r>
      <w:r w:rsidR="00506B7C">
        <w:t>2017</w:t>
      </w:r>
      <w:r w:rsidRPr="00A66E76">
        <w:t xml:space="preserve"> Per Customer Ex Ante Impacts for</w:t>
      </w:r>
      <w:r>
        <w:t xml:space="preserve"> Medium</w:t>
      </w:r>
      <w:r w:rsidRPr="00A66E76">
        <w:t xml:space="preserve"> Customers by Local Capacity Area </w:t>
      </w:r>
      <w:r>
        <w:rPr>
          <w:highlight w:val="yellow"/>
        </w:rPr>
        <w:br/>
      </w:r>
      <w:r w:rsidRPr="00A66E76">
        <w:t>(</w:t>
      </w:r>
      <w:r>
        <w:t>Hourly Average Reduction in MW Over Event Day Period 1</w:t>
      </w:r>
      <w:r w:rsidR="00CA470C">
        <w:t>–</w:t>
      </w:r>
      <w:r>
        <w:t>6 PM</w:t>
      </w:r>
      <w:r w:rsidRPr="00A66E76">
        <w:t>)</w:t>
      </w:r>
    </w:p>
    <w:tbl>
      <w:tblPr>
        <w:tblW w:w="0" w:type="auto"/>
        <w:tblLayout w:type="fixed"/>
        <w:tblLook w:val="04A0" w:firstRow="1" w:lastRow="0" w:firstColumn="1" w:lastColumn="0" w:noHBand="0" w:noVBand="1"/>
      </w:tblPr>
      <w:tblGrid>
        <w:gridCol w:w="769"/>
        <w:gridCol w:w="1509"/>
        <w:gridCol w:w="595"/>
        <w:gridCol w:w="595"/>
        <w:gridCol w:w="595"/>
        <w:gridCol w:w="595"/>
        <w:gridCol w:w="595"/>
        <w:gridCol w:w="595"/>
        <w:gridCol w:w="595"/>
        <w:gridCol w:w="595"/>
        <w:gridCol w:w="595"/>
        <w:gridCol w:w="595"/>
        <w:gridCol w:w="596"/>
        <w:gridCol w:w="594"/>
      </w:tblGrid>
      <w:tr w:rsidR="00506B7C" w:rsidRPr="00506B7C" w:rsidTr="00506B7C">
        <w:trPr>
          <w:trHeight w:val="705"/>
        </w:trPr>
        <w:tc>
          <w:tcPr>
            <w:tcW w:w="769" w:type="dxa"/>
            <w:tcBorders>
              <w:top w:val="single" w:sz="4" w:space="0" w:color="000000"/>
              <w:left w:val="single" w:sz="4" w:space="0" w:color="000000"/>
              <w:bottom w:val="nil"/>
              <w:right w:val="single" w:sz="4" w:space="0" w:color="FFFFFF"/>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Weather Year</w:t>
            </w:r>
          </w:p>
        </w:tc>
        <w:tc>
          <w:tcPr>
            <w:tcW w:w="1509" w:type="dxa"/>
            <w:tcBorders>
              <w:top w:val="single" w:sz="4" w:space="0" w:color="000000"/>
              <w:left w:val="nil"/>
              <w:bottom w:val="single" w:sz="4" w:space="0" w:color="000000"/>
              <w:right w:val="single" w:sz="4" w:space="0" w:color="FFFFFF"/>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Local Capacity Area</w:t>
            </w:r>
          </w:p>
        </w:tc>
        <w:tc>
          <w:tcPr>
            <w:tcW w:w="595" w:type="dxa"/>
            <w:tcBorders>
              <w:top w:val="single" w:sz="4" w:space="0" w:color="000000"/>
              <w:left w:val="nil"/>
              <w:bottom w:val="single" w:sz="4" w:space="0" w:color="000000"/>
              <w:right w:val="single" w:sz="4" w:space="0" w:color="FFFFFF"/>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Jan</w:t>
            </w:r>
          </w:p>
        </w:tc>
        <w:tc>
          <w:tcPr>
            <w:tcW w:w="595" w:type="dxa"/>
            <w:tcBorders>
              <w:top w:val="single" w:sz="4" w:space="0" w:color="000000"/>
              <w:left w:val="nil"/>
              <w:bottom w:val="single" w:sz="4" w:space="0" w:color="000000"/>
              <w:right w:val="single" w:sz="4" w:space="0" w:color="FFFFFF"/>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Feb</w:t>
            </w:r>
          </w:p>
        </w:tc>
        <w:tc>
          <w:tcPr>
            <w:tcW w:w="595" w:type="dxa"/>
            <w:tcBorders>
              <w:top w:val="single" w:sz="4" w:space="0" w:color="000000"/>
              <w:left w:val="nil"/>
              <w:bottom w:val="single" w:sz="4" w:space="0" w:color="000000"/>
              <w:right w:val="single" w:sz="4" w:space="0" w:color="FFFFFF"/>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Mar</w:t>
            </w:r>
          </w:p>
        </w:tc>
        <w:tc>
          <w:tcPr>
            <w:tcW w:w="595" w:type="dxa"/>
            <w:tcBorders>
              <w:top w:val="single" w:sz="4" w:space="0" w:color="000000"/>
              <w:left w:val="nil"/>
              <w:bottom w:val="single" w:sz="4" w:space="0" w:color="000000"/>
              <w:right w:val="single" w:sz="4" w:space="0" w:color="FFFFFF"/>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Apr</w:t>
            </w:r>
          </w:p>
        </w:tc>
        <w:tc>
          <w:tcPr>
            <w:tcW w:w="595" w:type="dxa"/>
            <w:tcBorders>
              <w:top w:val="single" w:sz="4" w:space="0" w:color="000000"/>
              <w:left w:val="nil"/>
              <w:bottom w:val="single" w:sz="4" w:space="0" w:color="000000"/>
              <w:right w:val="single" w:sz="4" w:space="0" w:color="FFFFFF"/>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May</w:t>
            </w:r>
          </w:p>
        </w:tc>
        <w:tc>
          <w:tcPr>
            <w:tcW w:w="595" w:type="dxa"/>
            <w:tcBorders>
              <w:top w:val="single" w:sz="4" w:space="0" w:color="000000"/>
              <w:left w:val="nil"/>
              <w:bottom w:val="single" w:sz="4" w:space="0" w:color="000000"/>
              <w:right w:val="single" w:sz="4" w:space="0" w:color="FFFFFF"/>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Jun</w:t>
            </w:r>
          </w:p>
        </w:tc>
        <w:tc>
          <w:tcPr>
            <w:tcW w:w="595" w:type="dxa"/>
            <w:tcBorders>
              <w:top w:val="single" w:sz="4" w:space="0" w:color="000000"/>
              <w:left w:val="nil"/>
              <w:bottom w:val="single" w:sz="4" w:space="0" w:color="000000"/>
              <w:right w:val="single" w:sz="4" w:space="0" w:color="FFFFFF"/>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Jul</w:t>
            </w:r>
          </w:p>
        </w:tc>
        <w:tc>
          <w:tcPr>
            <w:tcW w:w="595" w:type="dxa"/>
            <w:tcBorders>
              <w:top w:val="single" w:sz="4" w:space="0" w:color="000000"/>
              <w:left w:val="nil"/>
              <w:bottom w:val="single" w:sz="4" w:space="0" w:color="000000"/>
              <w:right w:val="single" w:sz="4" w:space="0" w:color="FFFFFF"/>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Aug</w:t>
            </w:r>
          </w:p>
        </w:tc>
        <w:tc>
          <w:tcPr>
            <w:tcW w:w="595" w:type="dxa"/>
            <w:tcBorders>
              <w:top w:val="single" w:sz="4" w:space="0" w:color="000000"/>
              <w:left w:val="nil"/>
              <w:bottom w:val="single" w:sz="4" w:space="0" w:color="000000"/>
              <w:right w:val="single" w:sz="4" w:space="0" w:color="FFFFFF"/>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Sep</w:t>
            </w:r>
          </w:p>
        </w:tc>
        <w:tc>
          <w:tcPr>
            <w:tcW w:w="595" w:type="dxa"/>
            <w:tcBorders>
              <w:top w:val="single" w:sz="4" w:space="0" w:color="000000"/>
              <w:left w:val="nil"/>
              <w:bottom w:val="single" w:sz="4" w:space="0" w:color="000000"/>
              <w:right w:val="single" w:sz="4" w:space="0" w:color="FFFFFF"/>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Oct</w:t>
            </w:r>
          </w:p>
        </w:tc>
        <w:tc>
          <w:tcPr>
            <w:tcW w:w="596" w:type="dxa"/>
            <w:tcBorders>
              <w:top w:val="single" w:sz="4" w:space="0" w:color="000000"/>
              <w:left w:val="nil"/>
              <w:bottom w:val="single" w:sz="4" w:space="0" w:color="000000"/>
              <w:right w:val="single" w:sz="4" w:space="0" w:color="FFFFFF"/>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Nov</w:t>
            </w:r>
          </w:p>
        </w:tc>
        <w:tc>
          <w:tcPr>
            <w:tcW w:w="594" w:type="dxa"/>
            <w:tcBorders>
              <w:top w:val="single" w:sz="4" w:space="0" w:color="000000"/>
              <w:left w:val="nil"/>
              <w:bottom w:val="single" w:sz="4" w:space="0" w:color="000000"/>
              <w:right w:val="single" w:sz="4" w:space="0" w:color="000000"/>
            </w:tcBorders>
            <w:shd w:val="clear" w:color="000000" w:fill="1F497D"/>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b/>
                <w:bCs/>
                <w:color w:val="FFFFFF"/>
                <w:sz w:val="18"/>
                <w:szCs w:val="18"/>
              </w:rPr>
            </w:pPr>
            <w:r w:rsidRPr="00506B7C">
              <w:rPr>
                <w:rFonts w:ascii="Arial" w:eastAsia="Times New Roman" w:hAnsi="Arial" w:cs="Arial"/>
                <w:b/>
                <w:bCs/>
                <w:color w:val="FFFFFF"/>
                <w:sz w:val="18"/>
                <w:szCs w:val="18"/>
              </w:rPr>
              <w:t>Dec</w:t>
            </w:r>
          </w:p>
        </w:tc>
      </w:tr>
      <w:tr w:rsidR="00506B7C" w:rsidRPr="00506B7C" w:rsidTr="00506B7C">
        <w:trPr>
          <w:trHeight w:val="402"/>
        </w:trPr>
        <w:tc>
          <w:tcPr>
            <w:tcW w:w="769" w:type="dxa"/>
            <w:vMerge w:val="restart"/>
            <w:tcBorders>
              <w:top w:val="single" w:sz="4" w:space="0" w:color="auto"/>
              <w:left w:val="single" w:sz="4" w:space="0" w:color="auto"/>
              <w:bottom w:val="single" w:sz="4" w:space="0" w:color="000000"/>
              <w:right w:val="single" w:sz="4" w:space="0" w:color="auto"/>
            </w:tcBorders>
            <w:shd w:val="clear" w:color="auto" w:fill="auto"/>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1-in-10</w:t>
            </w: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All Customers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2.5</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w:t>
            </w:r>
          </w:p>
        </w:tc>
      </w:tr>
      <w:tr w:rsidR="00506B7C" w:rsidRPr="00506B7C" w:rsidTr="00506B7C">
        <w:trPr>
          <w:trHeight w:val="402"/>
        </w:trPr>
        <w:tc>
          <w:tcPr>
            <w:tcW w:w="769" w:type="dxa"/>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Greater Bay Area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w:t>
            </w:r>
          </w:p>
        </w:tc>
      </w:tr>
      <w:tr w:rsidR="00506B7C" w:rsidRPr="00506B7C" w:rsidTr="00506B7C">
        <w:trPr>
          <w:trHeight w:val="402"/>
        </w:trPr>
        <w:tc>
          <w:tcPr>
            <w:tcW w:w="769" w:type="dxa"/>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Greater Fresno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2.7</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5.2</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r>
      <w:tr w:rsidR="00506B7C" w:rsidRPr="00506B7C" w:rsidTr="00506B7C">
        <w:trPr>
          <w:trHeight w:val="402"/>
        </w:trPr>
        <w:tc>
          <w:tcPr>
            <w:tcW w:w="769" w:type="dxa"/>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Humboldt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9.7</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9.7</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10.5</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10.4</w:t>
            </w:r>
          </w:p>
        </w:tc>
      </w:tr>
      <w:tr w:rsidR="00506B7C" w:rsidRPr="00506B7C" w:rsidTr="00506B7C">
        <w:trPr>
          <w:trHeight w:val="402"/>
        </w:trPr>
        <w:tc>
          <w:tcPr>
            <w:tcW w:w="769" w:type="dxa"/>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Kern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1.5</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1.5</w:t>
            </w:r>
          </w:p>
        </w:tc>
      </w:tr>
      <w:tr w:rsidR="00506B7C" w:rsidRPr="00506B7C" w:rsidTr="00506B7C">
        <w:trPr>
          <w:trHeight w:val="402"/>
        </w:trPr>
        <w:tc>
          <w:tcPr>
            <w:tcW w:w="769" w:type="dxa"/>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Northern Coast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4.0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3.9</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r>
      <w:tr w:rsidR="00506B7C" w:rsidRPr="00506B7C" w:rsidTr="00506B7C">
        <w:trPr>
          <w:trHeight w:val="402"/>
        </w:trPr>
        <w:tc>
          <w:tcPr>
            <w:tcW w:w="769" w:type="dxa"/>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Other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1.8</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3.8</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3.8</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2.7</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1.9</w:t>
            </w:r>
          </w:p>
        </w:tc>
      </w:tr>
      <w:tr w:rsidR="00506B7C" w:rsidRPr="00506B7C" w:rsidTr="00506B7C">
        <w:trPr>
          <w:trHeight w:val="402"/>
        </w:trPr>
        <w:tc>
          <w:tcPr>
            <w:tcW w:w="769" w:type="dxa"/>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Sierra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2.9</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2.9</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2.7</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2.9</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3.2</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3.2</w:t>
            </w:r>
          </w:p>
        </w:tc>
      </w:tr>
      <w:tr w:rsidR="00506B7C" w:rsidRPr="00506B7C" w:rsidTr="00506B7C">
        <w:trPr>
          <w:trHeight w:val="402"/>
        </w:trPr>
        <w:tc>
          <w:tcPr>
            <w:tcW w:w="769" w:type="dxa"/>
            <w:vMerge/>
            <w:tcBorders>
              <w:top w:val="single" w:sz="4" w:space="0" w:color="auto"/>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Stockton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0.8</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0.9</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1.9</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3.5</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3.5</w:t>
            </w:r>
          </w:p>
        </w:tc>
      </w:tr>
      <w:tr w:rsidR="00506B7C" w:rsidRPr="00506B7C" w:rsidTr="00506B7C">
        <w:trPr>
          <w:trHeight w:val="402"/>
        </w:trPr>
        <w:tc>
          <w:tcPr>
            <w:tcW w:w="769" w:type="dxa"/>
            <w:vMerge w:val="restart"/>
            <w:tcBorders>
              <w:top w:val="nil"/>
              <w:left w:val="single" w:sz="4" w:space="0" w:color="auto"/>
              <w:bottom w:val="single" w:sz="4" w:space="0" w:color="000000"/>
              <w:right w:val="single" w:sz="4" w:space="0" w:color="auto"/>
            </w:tcBorders>
            <w:shd w:val="clear" w:color="auto" w:fill="auto"/>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1-in-2</w:t>
            </w: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All Customers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1.8</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2.0</w:t>
            </w:r>
          </w:p>
        </w:tc>
      </w:tr>
      <w:tr w:rsidR="00506B7C" w:rsidRPr="00506B7C" w:rsidTr="00506B7C">
        <w:trPr>
          <w:trHeight w:val="402"/>
        </w:trPr>
        <w:tc>
          <w:tcPr>
            <w:tcW w:w="769" w:type="dxa"/>
            <w:vMerge/>
            <w:tcBorders>
              <w:top w:val="nil"/>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Greater Bay Area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1.3</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w:t>
            </w:r>
          </w:p>
        </w:tc>
      </w:tr>
      <w:tr w:rsidR="00506B7C" w:rsidRPr="00506B7C" w:rsidTr="00506B7C">
        <w:trPr>
          <w:trHeight w:val="402"/>
        </w:trPr>
        <w:tc>
          <w:tcPr>
            <w:tcW w:w="769" w:type="dxa"/>
            <w:vMerge/>
            <w:tcBorders>
              <w:top w:val="nil"/>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Greater Fresno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1.8</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r>
      <w:tr w:rsidR="00506B7C" w:rsidRPr="00506B7C" w:rsidTr="00506B7C">
        <w:trPr>
          <w:trHeight w:val="402"/>
        </w:trPr>
        <w:tc>
          <w:tcPr>
            <w:tcW w:w="769" w:type="dxa"/>
            <w:vMerge/>
            <w:tcBorders>
              <w:top w:val="nil"/>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Humboldt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11.9</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11.8</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11.0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10.8</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10.8</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10.2</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10.5</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12.4</w:t>
            </w:r>
          </w:p>
        </w:tc>
      </w:tr>
      <w:tr w:rsidR="00506B7C" w:rsidRPr="00506B7C" w:rsidTr="00506B7C">
        <w:trPr>
          <w:trHeight w:val="402"/>
        </w:trPr>
        <w:tc>
          <w:tcPr>
            <w:tcW w:w="769" w:type="dxa"/>
            <w:vMerge/>
            <w:tcBorders>
              <w:top w:val="nil"/>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Kern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1.4</w:t>
            </w:r>
          </w:p>
        </w:tc>
      </w:tr>
      <w:tr w:rsidR="00506B7C" w:rsidRPr="00506B7C" w:rsidTr="00506B7C">
        <w:trPr>
          <w:trHeight w:val="402"/>
        </w:trPr>
        <w:tc>
          <w:tcPr>
            <w:tcW w:w="769" w:type="dxa"/>
            <w:vMerge/>
            <w:tcBorders>
              <w:top w:val="nil"/>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Northern Coast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3.7</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3.7</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r>
      <w:tr w:rsidR="00506B7C" w:rsidRPr="00506B7C" w:rsidTr="00506B7C">
        <w:trPr>
          <w:trHeight w:val="402"/>
        </w:trPr>
        <w:tc>
          <w:tcPr>
            <w:tcW w:w="769" w:type="dxa"/>
            <w:vMerge/>
            <w:tcBorders>
              <w:top w:val="nil"/>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Other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1.9</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2.8</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3.4</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2.5</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2.3</w:t>
            </w:r>
          </w:p>
        </w:tc>
      </w:tr>
      <w:tr w:rsidR="00506B7C" w:rsidRPr="00506B7C" w:rsidTr="00506B7C">
        <w:trPr>
          <w:trHeight w:val="402"/>
        </w:trPr>
        <w:tc>
          <w:tcPr>
            <w:tcW w:w="769" w:type="dxa"/>
            <w:vMerge/>
            <w:tcBorders>
              <w:top w:val="nil"/>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Sierra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3.2</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3.0</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2.7</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2.7</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3.2</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3.2</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3.1</w:t>
            </w:r>
          </w:p>
        </w:tc>
      </w:tr>
      <w:tr w:rsidR="00506B7C" w:rsidRPr="00506B7C" w:rsidTr="00506B7C">
        <w:trPr>
          <w:trHeight w:val="402"/>
        </w:trPr>
        <w:tc>
          <w:tcPr>
            <w:tcW w:w="769" w:type="dxa"/>
            <w:vMerge/>
            <w:tcBorders>
              <w:top w:val="nil"/>
              <w:left w:val="single" w:sz="4" w:space="0" w:color="auto"/>
              <w:bottom w:val="single" w:sz="4" w:space="0" w:color="000000"/>
              <w:right w:val="single" w:sz="4" w:space="0" w:color="auto"/>
            </w:tcBorders>
            <w:tcMar>
              <w:left w:w="29" w:type="dxa"/>
              <w:right w:w="29" w:type="dxa"/>
            </w:tcMar>
            <w:vAlign w:val="center"/>
            <w:hideMark/>
          </w:tcPr>
          <w:p w:rsidR="00506B7C" w:rsidRPr="00506B7C" w:rsidRDefault="00506B7C" w:rsidP="00506B7C">
            <w:pPr>
              <w:spacing w:after="0" w:line="240" w:lineRule="auto"/>
              <w:rPr>
                <w:rFonts w:ascii="Arial" w:eastAsia="Times New Roman" w:hAnsi="Arial" w:cs="Arial"/>
                <w:color w:val="000000"/>
                <w:sz w:val="18"/>
                <w:szCs w:val="18"/>
              </w:rPr>
            </w:pPr>
          </w:p>
        </w:tc>
        <w:tc>
          <w:tcPr>
            <w:tcW w:w="1509"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 xml:space="preserve"> Stockton </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2.8</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3.5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2.5</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2.1</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1.3</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1.6</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1.9</w:t>
            </w:r>
          </w:p>
        </w:tc>
        <w:tc>
          <w:tcPr>
            <w:tcW w:w="595"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2.4</w:t>
            </w:r>
          </w:p>
        </w:tc>
        <w:tc>
          <w:tcPr>
            <w:tcW w:w="596"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2.2</w:t>
            </w:r>
          </w:p>
        </w:tc>
        <w:tc>
          <w:tcPr>
            <w:tcW w:w="594" w:type="dxa"/>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506B7C" w:rsidRPr="00506B7C" w:rsidRDefault="00506B7C" w:rsidP="00506B7C">
            <w:pPr>
              <w:spacing w:after="0" w:line="240" w:lineRule="auto"/>
              <w:jc w:val="center"/>
              <w:rPr>
                <w:rFonts w:ascii="Arial" w:eastAsia="Times New Roman" w:hAnsi="Arial" w:cs="Arial"/>
                <w:color w:val="000000"/>
                <w:sz w:val="18"/>
                <w:szCs w:val="18"/>
              </w:rPr>
            </w:pPr>
            <w:r w:rsidRPr="00506B7C">
              <w:rPr>
                <w:rFonts w:ascii="Arial" w:eastAsia="Times New Roman" w:hAnsi="Arial" w:cs="Arial"/>
                <w:color w:val="000000"/>
                <w:sz w:val="18"/>
                <w:szCs w:val="18"/>
              </w:rPr>
              <w:t>2.4</w:t>
            </w:r>
          </w:p>
        </w:tc>
      </w:tr>
    </w:tbl>
    <w:p w:rsidR="007E68AA" w:rsidRDefault="007E68AA" w:rsidP="007E68AA">
      <w:pPr>
        <w:pStyle w:val="BodyParagraph"/>
        <w:rPr>
          <w:rFonts w:eastAsia="Times New Roman" w:cs="Times New Roman"/>
          <w:color w:val="403152" w:themeColor="accent4" w:themeShade="80"/>
          <w:sz w:val="28"/>
          <w:szCs w:val="28"/>
        </w:rPr>
      </w:pPr>
    </w:p>
    <w:bookmarkEnd w:id="152"/>
    <w:bookmarkEnd w:id="147"/>
    <w:p w:rsidR="00DA41F5" w:rsidRDefault="005563B2" w:rsidP="00DA41F5">
      <w:pPr>
        <w:pStyle w:val="Heading1"/>
      </w:pPr>
      <w:r>
        <w:br w:type="column"/>
      </w:r>
      <w:bookmarkStart w:id="198" w:name="_Toc352323661"/>
      <w:r w:rsidR="00DA41F5">
        <w:lastRenderedPageBreak/>
        <w:t>SCE Ex Ante Load Impacts</w:t>
      </w:r>
      <w:bookmarkEnd w:id="198"/>
    </w:p>
    <w:p w:rsidR="00FB0DDB" w:rsidRDefault="001A15CC" w:rsidP="00FB0DDB">
      <w:pPr>
        <w:pStyle w:val="BodyParagraph"/>
      </w:pPr>
      <w:r>
        <w:t xml:space="preserve">This </w:t>
      </w:r>
      <w:r w:rsidR="00FB0DDB">
        <w:t>section presents ex ante</w:t>
      </w:r>
      <w:r w:rsidR="00FB0DDB" w:rsidRPr="007954D4">
        <w:t xml:space="preserve"> load impact estimates for </w:t>
      </w:r>
      <w:r w:rsidR="00FB0DDB">
        <w:t>SCE's</w:t>
      </w:r>
      <w:r w:rsidR="00FB0DDB" w:rsidRPr="007954D4">
        <w:t xml:space="preserve"> </w:t>
      </w:r>
      <w:r>
        <w:t xml:space="preserve">non-residential </w:t>
      </w:r>
      <w:r w:rsidR="00FB0DDB">
        <w:t xml:space="preserve">CPP tariff.  The main purpose of ex ante load impact estimates is to reflect the load reduction capability of a </w:t>
      </w:r>
      <w:r>
        <w:t>demand response</w:t>
      </w:r>
      <w:r w:rsidR="00FB0DDB">
        <w:t xml:space="preserve"> resource under a standard set of conditions that align with system planning.  These estimates are used in assessing alternatives for meeting peak demand, cost-effectiveness comparisons and long</w:t>
      </w:r>
      <w:r w:rsidR="00CA470C">
        <w:t xml:space="preserve"> </w:t>
      </w:r>
      <w:r w:rsidR="00FB0DDB">
        <w:t xml:space="preserve">term planning.  </w:t>
      </w:r>
      <w:r>
        <w:t xml:space="preserve">The ex ante impact estimates are based on all historical event information since the implementation of </w:t>
      </w:r>
      <w:r w:rsidR="00823236">
        <w:t>default CPP in 2009</w:t>
      </w:r>
      <w:r>
        <w:t>.  In total, estimated demand reductions from up to 36</w:t>
      </w:r>
      <w:r w:rsidR="00497509">
        <w:t> </w:t>
      </w:r>
      <w:r>
        <w:t xml:space="preserve">events were analyzed to estimate default CPP demand reductions and uncertainty across various weather conditions.  All demand reduction estimates presented in this chapter are incremental to the effects of the underlying TOU rates.  Section </w:t>
      </w:r>
      <w:r w:rsidR="00216600">
        <w:t>3.4</w:t>
      </w:r>
      <w:r>
        <w:t xml:space="preserve"> provides additional details about how the ex ante </w:t>
      </w:r>
      <w:r w:rsidR="00A72BAF">
        <w:t>i</w:t>
      </w:r>
      <w:r>
        <w:t>mpacts were developed.</w:t>
      </w:r>
    </w:p>
    <w:p w:rsidR="00A72BAF" w:rsidRDefault="00A72BAF" w:rsidP="00A72BAF">
      <w:pPr>
        <w:pStyle w:val="BodyParagraph"/>
      </w:pPr>
      <w:r>
        <w:t>Ex ante load impacts take into account both utility enrollment forecasts and changes to the design of</w:t>
      </w:r>
      <w:r w:rsidR="00497509">
        <w:t> </w:t>
      </w:r>
      <w:r>
        <w:t>default CPP ordered or approved by the CPUC.  This section details how weather, enrollment and program changes affect any differences between ex post and ex ante i</w:t>
      </w:r>
      <w:r w:rsidR="001E1035">
        <w:t xml:space="preserve">mpacts.  One </w:t>
      </w:r>
      <w:r w:rsidR="00A41C3C">
        <w:t xml:space="preserve">important change </w:t>
      </w:r>
      <w:r>
        <w:t>scheduled for SCE in</w:t>
      </w:r>
      <w:r w:rsidR="00A41C3C">
        <w:t xml:space="preserve"> the 2013</w:t>
      </w:r>
      <w:r w:rsidR="00CA470C">
        <w:t>–</w:t>
      </w:r>
      <w:r w:rsidR="00A41C3C">
        <w:t>2023 forecast horizon is that, s</w:t>
      </w:r>
      <w:r>
        <w:t xml:space="preserve">tarting in 2013, the CPP event window </w:t>
      </w:r>
      <w:r w:rsidR="00977880">
        <w:t xml:space="preserve">at SCE will move </w:t>
      </w:r>
      <w:r>
        <w:t>from 2</w:t>
      </w:r>
      <w:r w:rsidR="00497509">
        <w:t>–</w:t>
      </w:r>
      <w:r>
        <w:t>6 PM to 1</w:t>
      </w:r>
      <w:r w:rsidR="00497509">
        <w:t>–</w:t>
      </w:r>
      <w:r>
        <w:t>6 PM.</w:t>
      </w:r>
    </w:p>
    <w:p w:rsidR="00A72BAF" w:rsidRDefault="00A72BAF" w:rsidP="00A72BAF">
      <w:pPr>
        <w:pStyle w:val="BodyParagraph"/>
      </w:pPr>
      <w:r>
        <w:t>SCE has no default CPP historical experience with demand reductions for the hour of 1</w:t>
      </w:r>
      <w:r w:rsidR="00CA470C">
        <w:t>–</w:t>
      </w:r>
      <w:r>
        <w:t>2 PM.  That is</w:t>
      </w:r>
      <w:r w:rsidR="00497509">
        <w:t> </w:t>
      </w:r>
      <w:r>
        <w:t>not to say there is no such experience – SDG&amp;E</w:t>
      </w:r>
      <w:r w:rsidR="00977880">
        <w:t>’s</w:t>
      </w:r>
      <w:r>
        <w:t xml:space="preserve"> default CPP rate has </w:t>
      </w:r>
      <w:r w:rsidR="00497509">
        <w:t xml:space="preserve">a </w:t>
      </w:r>
      <w:r>
        <w:t>much longer event window, lasting from 11 AM to 6 PM, and demand reductions from 1</w:t>
      </w:r>
      <w:r w:rsidR="00CA470C">
        <w:t>–</w:t>
      </w:r>
      <w:r>
        <w:t xml:space="preserve">2 PM tend to be larger than those from </w:t>
      </w:r>
      <w:r w:rsidR="00497509">
        <w:br/>
      </w:r>
      <w:r w:rsidR="00CA470C">
        <w:t>2–</w:t>
      </w:r>
      <w:r>
        <w:t>6 PM.  The historical data also shows that, on average, business loads are higher from 1</w:t>
      </w:r>
      <w:r w:rsidR="00497509">
        <w:t>–</w:t>
      </w:r>
      <w:r>
        <w:t>2 PM than they are for 2</w:t>
      </w:r>
      <w:r w:rsidR="00CA470C">
        <w:t>–</w:t>
      </w:r>
      <w:r>
        <w:t xml:space="preserve">6 PM. However, by necessity, the </w:t>
      </w:r>
      <w:r w:rsidR="00977880">
        <w:t xml:space="preserve">ex ante </w:t>
      </w:r>
      <w:r>
        <w:t>demand reductions from 1</w:t>
      </w:r>
      <w:r w:rsidR="00CA470C">
        <w:t>–</w:t>
      </w:r>
      <w:r>
        <w:t xml:space="preserve">2 PM </w:t>
      </w:r>
      <w:r w:rsidR="00977880">
        <w:t xml:space="preserve">presented here </w:t>
      </w:r>
      <w:r>
        <w:t>are based on the assumption that demand reductions from 1</w:t>
      </w:r>
      <w:r w:rsidR="00CA470C">
        <w:t>–</w:t>
      </w:r>
      <w:r>
        <w:t xml:space="preserve">2 PM are equivalent </w:t>
      </w:r>
      <w:r w:rsidRPr="00A907B2">
        <w:t>to</w:t>
      </w:r>
      <w:r w:rsidR="00497509">
        <w:t> </w:t>
      </w:r>
      <w:r w:rsidRPr="00A907B2">
        <w:t>historical</w:t>
      </w:r>
      <w:r>
        <w:t xml:space="preserve"> demand reduction from 2</w:t>
      </w:r>
      <w:r w:rsidR="00CA470C">
        <w:t>–</w:t>
      </w:r>
      <w:r>
        <w:t xml:space="preserve">3 PM on a percentage basis.    </w:t>
      </w:r>
    </w:p>
    <w:p w:rsidR="00977880" w:rsidRDefault="00FB0DDB" w:rsidP="00977880">
      <w:pPr>
        <w:pStyle w:val="BodyParagraph"/>
      </w:pPr>
      <w:r>
        <w:t>The enrollment estimates f</w:t>
      </w:r>
      <w:r w:rsidR="00977880">
        <w:t xml:space="preserve">or SCE assume future </w:t>
      </w:r>
      <w:r>
        <w:t>enrollment</w:t>
      </w:r>
      <w:r w:rsidR="00977880">
        <w:t xml:space="preserve">s similar to that of 2012, since many default CPP-eligible customers have had </w:t>
      </w:r>
      <w:r>
        <w:t>t</w:t>
      </w:r>
      <w:r w:rsidR="00977880">
        <w:t>hree</w:t>
      </w:r>
      <w:r>
        <w:t xml:space="preserve"> years of experience </w:t>
      </w:r>
      <w:r w:rsidR="00977880">
        <w:t xml:space="preserve">on the rate, </w:t>
      </w:r>
      <w:r>
        <w:t>allow</w:t>
      </w:r>
      <w:r w:rsidR="00977880">
        <w:t xml:space="preserve">ing customers ample </w:t>
      </w:r>
      <w:r>
        <w:t>opportunity to assess if the rate fits their electricity use patterns and load reduct</w:t>
      </w:r>
      <w:r w:rsidR="00977880">
        <w:t xml:space="preserve">ion capabilities.  However, </w:t>
      </w:r>
      <w:r w:rsidR="009B3149">
        <w:t xml:space="preserve">SCE </w:t>
      </w:r>
      <w:r w:rsidR="00977880">
        <w:t xml:space="preserve">does </w:t>
      </w:r>
      <w:r w:rsidR="009B3149">
        <w:t>project</w:t>
      </w:r>
      <w:r w:rsidR="001E1035">
        <w:t xml:space="preserve"> </w:t>
      </w:r>
      <w:r w:rsidR="00823236">
        <w:t xml:space="preserve">a </w:t>
      </w:r>
      <w:r>
        <w:t>slight increase in enro</w:t>
      </w:r>
      <w:r w:rsidR="001E1035">
        <w:t>llment on the CPP tariff in 2013</w:t>
      </w:r>
      <w:r>
        <w:t xml:space="preserve"> </w:t>
      </w:r>
      <w:r w:rsidR="001E1035">
        <w:t>through 2015</w:t>
      </w:r>
      <w:r w:rsidR="00823236">
        <w:t xml:space="preserve">, reflecting </w:t>
      </w:r>
      <w:r w:rsidR="00977880">
        <w:t xml:space="preserve">the </w:t>
      </w:r>
      <w:r w:rsidR="00823236">
        <w:t xml:space="preserve">mostly flat enrollment trends </w:t>
      </w:r>
      <w:r w:rsidR="00977880">
        <w:t xml:space="preserve">but </w:t>
      </w:r>
      <w:r w:rsidR="00823236">
        <w:t>with some increased retention due to the anticipated offering of a CPP customer reference level, not currently</w:t>
      </w:r>
      <w:r w:rsidR="00977880">
        <w:t xml:space="preserve"> offered to SCE CPP customers</w:t>
      </w:r>
      <w:r w:rsidR="00823236">
        <w:t xml:space="preserve">. </w:t>
      </w:r>
      <w:r w:rsidR="00977880">
        <w:t xml:space="preserve"> Other factors contributing to the CPP enrollment forecast are general population and load growth.</w:t>
      </w:r>
    </w:p>
    <w:p w:rsidR="00216600" w:rsidRDefault="00FB0DDB" w:rsidP="00977880">
      <w:pPr>
        <w:pStyle w:val="BodyParagraph"/>
      </w:pPr>
      <w:r>
        <w:t xml:space="preserve">On </w:t>
      </w:r>
      <w:r w:rsidRPr="00216600">
        <w:t>average</w:t>
      </w:r>
      <w:r w:rsidR="00497509">
        <w:t>,</w:t>
      </w:r>
      <w:r w:rsidRPr="00216600">
        <w:t xml:space="preserve"> 3,006</w:t>
      </w:r>
      <w:r w:rsidR="001E1035" w:rsidRPr="00216600">
        <w:t xml:space="preserve"> accounts</w:t>
      </w:r>
      <w:r w:rsidR="001E1035">
        <w:t xml:space="preserve"> participated in 2012</w:t>
      </w:r>
      <w:r w:rsidR="00977880">
        <w:t xml:space="preserve"> events. </w:t>
      </w:r>
      <w:r w:rsidR="00497509">
        <w:t xml:space="preserve"> </w:t>
      </w:r>
      <w:r w:rsidR="00216600">
        <w:t xml:space="preserve">Note that the main ex post results presented in section 5 are for default CPP customers only.  </w:t>
      </w:r>
      <w:r w:rsidR="006722FF">
        <w:t>T</w:t>
      </w:r>
      <w:r w:rsidR="00216600">
        <w:t xml:space="preserve">he analysis basis here in the ex ante section of the report </w:t>
      </w:r>
      <w:r w:rsidR="006722FF">
        <w:t xml:space="preserve">changes </w:t>
      </w:r>
      <w:r w:rsidR="00216600">
        <w:t xml:space="preserve">because SCE provides enrollment forecasts on a total basis, rather than segregated by opt-in and default. </w:t>
      </w:r>
      <w:r w:rsidR="00497509">
        <w:t xml:space="preserve"> </w:t>
      </w:r>
      <w:r w:rsidR="00216600">
        <w:t>These voluntary customers are low CPP responders and so the ex ante results presented here will tend to be lower due to the inclusion of these customers in the analysis.</w:t>
      </w:r>
    </w:p>
    <w:p w:rsidR="009B3149" w:rsidRDefault="00FB0DDB" w:rsidP="00FB0DDB">
      <w:pPr>
        <w:pStyle w:val="BodyParagraph"/>
      </w:pPr>
      <w:r>
        <w:t>By January 201</w:t>
      </w:r>
      <w:r w:rsidR="001E1035">
        <w:t>3</w:t>
      </w:r>
      <w:r w:rsidR="009B3149">
        <w:t>, 3,051</w:t>
      </w:r>
      <w:r>
        <w:t xml:space="preserve"> customers are projected to be served under the rate sche</w:t>
      </w:r>
      <w:r w:rsidR="009B3149">
        <w:t>dule and by December 20</w:t>
      </w:r>
      <w:r w:rsidR="00977880">
        <w:t>1</w:t>
      </w:r>
      <w:r w:rsidR="009B3149">
        <w:t>5</w:t>
      </w:r>
      <w:r w:rsidR="001E1035">
        <w:t>, 3,</w:t>
      </w:r>
      <w:r w:rsidR="009B3149">
        <w:t>141</w:t>
      </w:r>
      <w:r>
        <w:t xml:space="preserve"> customers are forecast to be enrolled.</w:t>
      </w:r>
      <w:r w:rsidR="00977880">
        <w:t xml:space="preserve">  Table 8-1 shows SCE’s enrollment projections through 2023.</w:t>
      </w:r>
    </w:p>
    <w:p w:rsidR="009B3149" w:rsidRDefault="009B3149">
      <w:pPr>
        <w:rPr>
          <w:rFonts w:ascii="Verdana" w:hAnsi="Verdana"/>
          <w:sz w:val="18"/>
        </w:rPr>
      </w:pPr>
      <w:r>
        <w:br w:type="page"/>
      </w:r>
    </w:p>
    <w:p w:rsidR="009B3149" w:rsidRDefault="009B3149" w:rsidP="00FB0DDB">
      <w:pPr>
        <w:pStyle w:val="TableFigureCaption"/>
        <w:contextualSpacing/>
      </w:pPr>
      <w:r>
        <w:lastRenderedPageBreak/>
        <w:t>Table 8-1:</w:t>
      </w:r>
      <w:r w:rsidR="00626371">
        <w:t xml:space="preserve"> </w:t>
      </w:r>
      <w:r>
        <w:t xml:space="preserve">SCE </w:t>
      </w:r>
      <w:r w:rsidR="00FB0DDB">
        <w:t xml:space="preserve">Enrollment Projections for CPP </w:t>
      </w:r>
      <w:r>
        <w:t>Customers</w:t>
      </w:r>
    </w:p>
    <w:p w:rsidR="00FB0DDB" w:rsidRDefault="00FB0DDB" w:rsidP="00FB0DDB">
      <w:pPr>
        <w:pStyle w:val="TableFigureCaption"/>
        <w:contextualSpacing/>
      </w:pPr>
      <w:r>
        <w:t xml:space="preserve"> by Forecast Year and Month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667"/>
        <w:gridCol w:w="667"/>
        <w:gridCol w:w="667"/>
        <w:gridCol w:w="667"/>
        <w:gridCol w:w="667"/>
        <w:gridCol w:w="667"/>
        <w:gridCol w:w="667"/>
        <w:gridCol w:w="667"/>
        <w:gridCol w:w="667"/>
        <w:gridCol w:w="667"/>
        <w:gridCol w:w="667"/>
        <w:gridCol w:w="674"/>
      </w:tblGrid>
      <w:tr w:rsidR="001E1035" w:rsidRPr="00057782" w:rsidTr="00E640AA">
        <w:trPr>
          <w:trHeight w:val="315"/>
        </w:trPr>
        <w:tc>
          <w:tcPr>
            <w:tcW w:w="1435" w:type="dxa"/>
            <w:vMerge w:val="restart"/>
            <w:tcBorders>
              <w:right w:val="single" w:sz="4" w:space="0" w:color="FFFFFF" w:themeColor="background1"/>
            </w:tcBorders>
            <w:shd w:val="clear" w:color="000000" w:fill="1F497D"/>
            <w:noWrap/>
            <w:tcMar>
              <w:left w:w="43" w:type="dxa"/>
              <w:right w:w="43" w:type="dxa"/>
            </w:tcMar>
            <w:vAlign w:val="center"/>
            <w:hideMark/>
          </w:tcPr>
          <w:p w:rsidR="001E1035" w:rsidRPr="00340FC0" w:rsidRDefault="00966314" w:rsidP="00057782">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Forecast Year</w:t>
            </w:r>
          </w:p>
        </w:tc>
        <w:tc>
          <w:tcPr>
            <w:tcW w:w="8011" w:type="dxa"/>
            <w:gridSpan w:val="12"/>
            <w:tcBorders>
              <w:left w:val="single" w:sz="4" w:space="0" w:color="FFFFFF" w:themeColor="background1"/>
              <w:bottom w:val="single" w:sz="4" w:space="0" w:color="FFFFFF" w:themeColor="background1"/>
            </w:tcBorders>
            <w:shd w:val="clear" w:color="000000" w:fill="1F497D"/>
            <w:tcMar>
              <w:left w:w="43" w:type="dxa"/>
              <w:right w:w="43" w:type="dxa"/>
            </w:tcMar>
            <w:vAlign w:val="center"/>
            <w:hideMark/>
          </w:tcPr>
          <w:p w:rsidR="001E1035" w:rsidRPr="00340FC0" w:rsidRDefault="00966314" w:rsidP="002B5AC6">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Month</w:t>
            </w:r>
          </w:p>
        </w:tc>
      </w:tr>
      <w:tr w:rsidR="001E1035" w:rsidRPr="00057782" w:rsidTr="00E640AA">
        <w:trPr>
          <w:trHeight w:val="315"/>
        </w:trPr>
        <w:tc>
          <w:tcPr>
            <w:tcW w:w="1435" w:type="dxa"/>
            <w:vMerge/>
            <w:tcBorders>
              <w:right w:val="single" w:sz="4" w:space="0" w:color="FFFFFF" w:themeColor="background1"/>
            </w:tcBorders>
            <w:tcMar>
              <w:left w:w="43" w:type="dxa"/>
              <w:right w:w="43" w:type="dxa"/>
            </w:tcMar>
            <w:vAlign w:val="center"/>
            <w:hideMark/>
          </w:tcPr>
          <w:p w:rsidR="001E3B5B" w:rsidRPr="00340FC0" w:rsidRDefault="001E3B5B" w:rsidP="00340FC0">
            <w:pPr>
              <w:spacing w:after="0" w:line="240" w:lineRule="auto"/>
              <w:jc w:val="center"/>
              <w:rPr>
                <w:rFonts w:ascii="Arial" w:eastAsia="Times New Roman" w:hAnsi="Arial" w:cs="Arial"/>
                <w:b/>
                <w:bCs/>
                <w:color w:val="FFFFFF"/>
                <w:sz w:val="18"/>
                <w:szCs w:val="18"/>
              </w:rPr>
            </w:pPr>
          </w:p>
        </w:tc>
        <w:tc>
          <w:tcPr>
            <w:tcW w:w="667" w:type="dxa"/>
            <w:tcBorders>
              <w:top w:val="single" w:sz="4" w:space="0" w:color="FFFFFF" w:themeColor="background1"/>
              <w:left w:val="single" w:sz="4" w:space="0" w:color="FFFFFF" w:themeColor="background1"/>
              <w:right w:val="single" w:sz="4" w:space="0" w:color="FFFFFF" w:themeColor="background1"/>
            </w:tcBorders>
            <w:shd w:val="clear" w:color="000000" w:fill="1F497D"/>
            <w:noWrap/>
            <w:tcMar>
              <w:left w:w="43" w:type="dxa"/>
              <w:right w:w="43" w:type="dxa"/>
            </w:tcMar>
            <w:vAlign w:val="center"/>
            <w:hideMark/>
          </w:tcPr>
          <w:p w:rsidR="001E1035" w:rsidRPr="00340FC0" w:rsidRDefault="00966314" w:rsidP="00057782">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Jan</w:t>
            </w:r>
          </w:p>
        </w:tc>
        <w:tc>
          <w:tcPr>
            <w:tcW w:w="667" w:type="dxa"/>
            <w:tcBorders>
              <w:top w:val="single" w:sz="4" w:space="0" w:color="FFFFFF" w:themeColor="background1"/>
              <w:left w:val="single" w:sz="4" w:space="0" w:color="FFFFFF" w:themeColor="background1"/>
              <w:right w:val="single" w:sz="4" w:space="0" w:color="FFFFFF" w:themeColor="background1"/>
            </w:tcBorders>
            <w:shd w:val="clear" w:color="000000" w:fill="1F497D"/>
            <w:noWrap/>
            <w:tcMar>
              <w:left w:w="43" w:type="dxa"/>
              <w:right w:w="43" w:type="dxa"/>
            </w:tcMar>
            <w:vAlign w:val="center"/>
            <w:hideMark/>
          </w:tcPr>
          <w:p w:rsidR="001E1035" w:rsidRPr="00340FC0" w:rsidRDefault="00966314" w:rsidP="002B5AC6">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Feb</w:t>
            </w:r>
          </w:p>
        </w:tc>
        <w:tc>
          <w:tcPr>
            <w:tcW w:w="667" w:type="dxa"/>
            <w:tcBorders>
              <w:top w:val="single" w:sz="4" w:space="0" w:color="FFFFFF" w:themeColor="background1"/>
              <w:left w:val="single" w:sz="4" w:space="0" w:color="FFFFFF" w:themeColor="background1"/>
              <w:right w:val="single" w:sz="4" w:space="0" w:color="FFFFFF" w:themeColor="background1"/>
            </w:tcBorders>
            <w:shd w:val="clear" w:color="000000" w:fill="1F497D"/>
            <w:noWrap/>
            <w:tcMar>
              <w:left w:w="43" w:type="dxa"/>
              <w:right w:w="43" w:type="dxa"/>
            </w:tcMar>
            <w:vAlign w:val="center"/>
            <w:hideMark/>
          </w:tcPr>
          <w:p w:rsidR="001E1035" w:rsidRPr="00340FC0" w:rsidRDefault="00966314" w:rsidP="002B5AC6">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Mar</w:t>
            </w:r>
          </w:p>
        </w:tc>
        <w:tc>
          <w:tcPr>
            <w:tcW w:w="667" w:type="dxa"/>
            <w:tcBorders>
              <w:top w:val="single" w:sz="4" w:space="0" w:color="FFFFFF" w:themeColor="background1"/>
              <w:left w:val="single" w:sz="4" w:space="0" w:color="FFFFFF" w:themeColor="background1"/>
              <w:right w:val="single" w:sz="4" w:space="0" w:color="FFFFFF" w:themeColor="background1"/>
            </w:tcBorders>
            <w:shd w:val="clear" w:color="000000" w:fill="1F497D"/>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Apr</w:t>
            </w:r>
          </w:p>
        </w:tc>
        <w:tc>
          <w:tcPr>
            <w:tcW w:w="667" w:type="dxa"/>
            <w:tcBorders>
              <w:top w:val="single" w:sz="4" w:space="0" w:color="FFFFFF" w:themeColor="background1"/>
              <w:left w:val="single" w:sz="4" w:space="0" w:color="FFFFFF" w:themeColor="background1"/>
              <w:right w:val="single" w:sz="4" w:space="0" w:color="FFFFFF" w:themeColor="background1"/>
            </w:tcBorders>
            <w:shd w:val="clear" w:color="000000" w:fill="1F497D"/>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May</w:t>
            </w:r>
          </w:p>
        </w:tc>
        <w:tc>
          <w:tcPr>
            <w:tcW w:w="667" w:type="dxa"/>
            <w:tcBorders>
              <w:top w:val="single" w:sz="4" w:space="0" w:color="FFFFFF" w:themeColor="background1"/>
              <w:left w:val="single" w:sz="4" w:space="0" w:color="FFFFFF" w:themeColor="background1"/>
              <w:right w:val="single" w:sz="4" w:space="0" w:color="FFFFFF" w:themeColor="background1"/>
            </w:tcBorders>
            <w:shd w:val="clear" w:color="000000" w:fill="1F497D"/>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Jun</w:t>
            </w:r>
          </w:p>
        </w:tc>
        <w:tc>
          <w:tcPr>
            <w:tcW w:w="667" w:type="dxa"/>
            <w:tcBorders>
              <w:top w:val="single" w:sz="4" w:space="0" w:color="FFFFFF" w:themeColor="background1"/>
              <w:left w:val="single" w:sz="4" w:space="0" w:color="FFFFFF" w:themeColor="background1"/>
              <w:right w:val="single" w:sz="4" w:space="0" w:color="FFFFFF" w:themeColor="background1"/>
            </w:tcBorders>
            <w:shd w:val="clear" w:color="000000" w:fill="1F497D"/>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Jul</w:t>
            </w:r>
          </w:p>
        </w:tc>
        <w:tc>
          <w:tcPr>
            <w:tcW w:w="667" w:type="dxa"/>
            <w:tcBorders>
              <w:top w:val="single" w:sz="4" w:space="0" w:color="FFFFFF" w:themeColor="background1"/>
              <w:left w:val="single" w:sz="4" w:space="0" w:color="FFFFFF" w:themeColor="background1"/>
              <w:right w:val="single" w:sz="4" w:space="0" w:color="FFFFFF" w:themeColor="background1"/>
            </w:tcBorders>
            <w:shd w:val="clear" w:color="000000" w:fill="1F497D"/>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Aug</w:t>
            </w:r>
          </w:p>
        </w:tc>
        <w:tc>
          <w:tcPr>
            <w:tcW w:w="667" w:type="dxa"/>
            <w:tcBorders>
              <w:top w:val="single" w:sz="4" w:space="0" w:color="FFFFFF" w:themeColor="background1"/>
              <w:left w:val="single" w:sz="4" w:space="0" w:color="FFFFFF" w:themeColor="background1"/>
              <w:right w:val="single" w:sz="4" w:space="0" w:color="FFFFFF" w:themeColor="background1"/>
            </w:tcBorders>
            <w:shd w:val="clear" w:color="000000" w:fill="1F497D"/>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Sep</w:t>
            </w:r>
          </w:p>
        </w:tc>
        <w:tc>
          <w:tcPr>
            <w:tcW w:w="667" w:type="dxa"/>
            <w:tcBorders>
              <w:top w:val="single" w:sz="4" w:space="0" w:color="FFFFFF" w:themeColor="background1"/>
              <w:left w:val="single" w:sz="4" w:space="0" w:color="FFFFFF" w:themeColor="background1"/>
              <w:right w:val="single" w:sz="4" w:space="0" w:color="FFFFFF" w:themeColor="background1"/>
            </w:tcBorders>
            <w:shd w:val="clear" w:color="000000" w:fill="1F497D"/>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Oct</w:t>
            </w:r>
          </w:p>
        </w:tc>
        <w:tc>
          <w:tcPr>
            <w:tcW w:w="667" w:type="dxa"/>
            <w:tcBorders>
              <w:top w:val="single" w:sz="4" w:space="0" w:color="FFFFFF" w:themeColor="background1"/>
              <w:left w:val="single" w:sz="4" w:space="0" w:color="FFFFFF" w:themeColor="background1"/>
              <w:right w:val="single" w:sz="4" w:space="0" w:color="FFFFFF" w:themeColor="background1"/>
            </w:tcBorders>
            <w:shd w:val="clear" w:color="000000" w:fill="1F497D"/>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Nov</w:t>
            </w:r>
          </w:p>
        </w:tc>
        <w:tc>
          <w:tcPr>
            <w:tcW w:w="674" w:type="dxa"/>
            <w:tcBorders>
              <w:top w:val="single" w:sz="4" w:space="0" w:color="FFFFFF" w:themeColor="background1"/>
              <w:left w:val="single" w:sz="4" w:space="0" w:color="FFFFFF" w:themeColor="background1"/>
            </w:tcBorders>
            <w:shd w:val="clear" w:color="000000" w:fill="1F497D"/>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Dec</w:t>
            </w:r>
          </w:p>
        </w:tc>
      </w:tr>
      <w:tr w:rsidR="001E1035" w:rsidRPr="00057782" w:rsidTr="00E640AA">
        <w:trPr>
          <w:trHeight w:val="432"/>
        </w:trPr>
        <w:tc>
          <w:tcPr>
            <w:tcW w:w="1435" w:type="dxa"/>
            <w:shd w:val="clear" w:color="auto" w:fill="auto"/>
            <w:noWrap/>
            <w:tcMar>
              <w:left w:w="43" w:type="dxa"/>
              <w:right w:w="43" w:type="dxa"/>
            </w:tcMar>
            <w:vAlign w:val="center"/>
            <w:hideMark/>
          </w:tcPr>
          <w:p w:rsidR="001E1035" w:rsidRPr="00057782" w:rsidRDefault="001E1035" w:rsidP="00057782">
            <w:pPr>
              <w:spacing w:after="0" w:line="240" w:lineRule="auto"/>
              <w:jc w:val="center"/>
              <w:rPr>
                <w:rFonts w:ascii="Arial" w:eastAsia="Times New Roman" w:hAnsi="Arial" w:cs="Arial"/>
                <w:color w:val="000000"/>
                <w:sz w:val="18"/>
                <w:szCs w:val="18"/>
              </w:rPr>
            </w:pPr>
            <w:r w:rsidRPr="00057782">
              <w:rPr>
                <w:rFonts w:ascii="Arial" w:eastAsia="Times New Roman" w:hAnsi="Arial" w:cs="Arial"/>
                <w:color w:val="000000"/>
                <w:sz w:val="18"/>
                <w:szCs w:val="18"/>
              </w:rPr>
              <w:t>2012</w:t>
            </w:r>
          </w:p>
        </w:tc>
        <w:tc>
          <w:tcPr>
            <w:tcW w:w="667" w:type="dxa"/>
            <w:shd w:val="clear" w:color="auto" w:fill="auto"/>
            <w:noWrap/>
            <w:tcMar>
              <w:left w:w="43" w:type="dxa"/>
              <w:right w:w="43" w:type="dxa"/>
            </w:tcMar>
            <w:vAlign w:val="center"/>
            <w:hideMark/>
          </w:tcPr>
          <w:p w:rsidR="001E1035" w:rsidRPr="00340FC0" w:rsidRDefault="00966314" w:rsidP="00057782">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3,047</w:t>
            </w:r>
          </w:p>
        </w:tc>
        <w:tc>
          <w:tcPr>
            <w:tcW w:w="667" w:type="dxa"/>
            <w:shd w:val="clear" w:color="auto" w:fill="auto"/>
            <w:noWrap/>
            <w:tcMar>
              <w:left w:w="43" w:type="dxa"/>
              <w:right w:w="43" w:type="dxa"/>
            </w:tcMar>
            <w:vAlign w:val="center"/>
            <w:hideMark/>
          </w:tcPr>
          <w:p w:rsidR="001E1035" w:rsidRPr="00340FC0" w:rsidRDefault="00966314" w:rsidP="002B5AC6">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3,047</w:t>
            </w:r>
          </w:p>
        </w:tc>
        <w:tc>
          <w:tcPr>
            <w:tcW w:w="667" w:type="dxa"/>
            <w:shd w:val="clear" w:color="auto" w:fill="auto"/>
            <w:noWrap/>
            <w:tcMar>
              <w:left w:w="43" w:type="dxa"/>
              <w:right w:w="43" w:type="dxa"/>
            </w:tcMar>
            <w:vAlign w:val="center"/>
            <w:hideMark/>
          </w:tcPr>
          <w:p w:rsidR="001E1035" w:rsidRPr="00340FC0" w:rsidRDefault="00966314" w:rsidP="002B5AC6">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3,047</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3,047</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3,047</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3,047</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3,047</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3,047</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3,047</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3,047</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3,047</w:t>
            </w:r>
          </w:p>
        </w:tc>
        <w:tc>
          <w:tcPr>
            <w:tcW w:w="674"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3,047</w:t>
            </w:r>
          </w:p>
        </w:tc>
      </w:tr>
      <w:tr w:rsidR="001E1035" w:rsidRPr="00057782" w:rsidTr="00E640AA">
        <w:trPr>
          <w:trHeight w:val="432"/>
        </w:trPr>
        <w:tc>
          <w:tcPr>
            <w:tcW w:w="1435" w:type="dxa"/>
            <w:shd w:val="clear" w:color="auto" w:fill="auto"/>
            <w:noWrap/>
            <w:tcMar>
              <w:left w:w="43" w:type="dxa"/>
              <w:right w:w="43" w:type="dxa"/>
            </w:tcMar>
            <w:vAlign w:val="center"/>
            <w:hideMark/>
          </w:tcPr>
          <w:p w:rsidR="001E1035" w:rsidRPr="00057782" w:rsidRDefault="001E1035" w:rsidP="00057782">
            <w:pPr>
              <w:spacing w:after="0" w:line="240" w:lineRule="auto"/>
              <w:jc w:val="center"/>
              <w:rPr>
                <w:rFonts w:ascii="Arial" w:eastAsia="Times New Roman" w:hAnsi="Arial" w:cs="Arial"/>
                <w:color w:val="000000"/>
                <w:sz w:val="18"/>
                <w:szCs w:val="18"/>
              </w:rPr>
            </w:pPr>
            <w:r w:rsidRPr="00057782">
              <w:rPr>
                <w:rFonts w:ascii="Arial" w:eastAsia="Times New Roman" w:hAnsi="Arial" w:cs="Arial"/>
                <w:color w:val="000000"/>
                <w:sz w:val="18"/>
                <w:szCs w:val="18"/>
              </w:rPr>
              <w:t>2013</w:t>
            </w:r>
          </w:p>
        </w:tc>
        <w:tc>
          <w:tcPr>
            <w:tcW w:w="667" w:type="dxa"/>
            <w:shd w:val="clear" w:color="auto" w:fill="auto"/>
            <w:noWrap/>
            <w:tcMar>
              <w:left w:w="43" w:type="dxa"/>
              <w:right w:w="43" w:type="dxa"/>
            </w:tcMar>
            <w:vAlign w:val="center"/>
            <w:hideMark/>
          </w:tcPr>
          <w:p w:rsidR="001E1035" w:rsidRPr="00340FC0" w:rsidRDefault="00966314" w:rsidP="00057782">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3,051</w:t>
            </w:r>
          </w:p>
        </w:tc>
        <w:tc>
          <w:tcPr>
            <w:tcW w:w="667" w:type="dxa"/>
            <w:shd w:val="clear" w:color="auto" w:fill="auto"/>
            <w:noWrap/>
            <w:tcMar>
              <w:left w:w="43" w:type="dxa"/>
              <w:right w:w="43" w:type="dxa"/>
            </w:tcMar>
            <w:vAlign w:val="center"/>
            <w:hideMark/>
          </w:tcPr>
          <w:p w:rsidR="001E1035" w:rsidRPr="00340FC0" w:rsidRDefault="00966314" w:rsidP="002B5AC6">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3,053</w:t>
            </w:r>
          </w:p>
        </w:tc>
        <w:tc>
          <w:tcPr>
            <w:tcW w:w="667" w:type="dxa"/>
            <w:shd w:val="clear" w:color="auto" w:fill="auto"/>
            <w:noWrap/>
            <w:tcMar>
              <w:left w:w="43" w:type="dxa"/>
              <w:right w:w="43" w:type="dxa"/>
            </w:tcMar>
            <w:vAlign w:val="center"/>
            <w:hideMark/>
          </w:tcPr>
          <w:p w:rsidR="001E1035" w:rsidRPr="00340FC0" w:rsidRDefault="00966314" w:rsidP="002B5AC6">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3,056</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3,058</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3,061</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3,063</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3,066</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3,068</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3,071</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3,074</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3,076</w:t>
            </w:r>
          </w:p>
        </w:tc>
        <w:tc>
          <w:tcPr>
            <w:tcW w:w="674"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3,079</w:t>
            </w:r>
          </w:p>
        </w:tc>
      </w:tr>
      <w:tr w:rsidR="001E1035" w:rsidRPr="00057782" w:rsidTr="00E640AA">
        <w:trPr>
          <w:trHeight w:val="432"/>
        </w:trPr>
        <w:tc>
          <w:tcPr>
            <w:tcW w:w="1435" w:type="dxa"/>
            <w:shd w:val="clear" w:color="auto" w:fill="auto"/>
            <w:noWrap/>
            <w:tcMar>
              <w:left w:w="43" w:type="dxa"/>
              <w:right w:w="43" w:type="dxa"/>
            </w:tcMar>
            <w:vAlign w:val="center"/>
            <w:hideMark/>
          </w:tcPr>
          <w:p w:rsidR="001E1035" w:rsidRPr="00057782" w:rsidRDefault="001E1035" w:rsidP="00057782">
            <w:pPr>
              <w:spacing w:after="0" w:line="240" w:lineRule="auto"/>
              <w:jc w:val="center"/>
              <w:rPr>
                <w:rFonts w:ascii="Arial" w:eastAsia="Times New Roman" w:hAnsi="Arial" w:cs="Arial"/>
                <w:color w:val="000000"/>
                <w:sz w:val="18"/>
                <w:szCs w:val="18"/>
              </w:rPr>
            </w:pPr>
            <w:r w:rsidRPr="00057782">
              <w:rPr>
                <w:rFonts w:ascii="Arial" w:eastAsia="Times New Roman" w:hAnsi="Arial" w:cs="Arial"/>
                <w:color w:val="000000"/>
                <w:sz w:val="18"/>
                <w:szCs w:val="18"/>
              </w:rPr>
              <w:t>2014</w:t>
            </w:r>
          </w:p>
        </w:tc>
        <w:tc>
          <w:tcPr>
            <w:tcW w:w="667" w:type="dxa"/>
            <w:shd w:val="clear" w:color="auto" w:fill="auto"/>
            <w:noWrap/>
            <w:tcMar>
              <w:left w:w="43" w:type="dxa"/>
              <w:right w:w="43" w:type="dxa"/>
            </w:tcMar>
            <w:vAlign w:val="center"/>
            <w:hideMark/>
          </w:tcPr>
          <w:p w:rsidR="001E1035" w:rsidRPr="00340FC0" w:rsidRDefault="00966314" w:rsidP="00057782">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3,081</w:t>
            </w:r>
          </w:p>
        </w:tc>
        <w:tc>
          <w:tcPr>
            <w:tcW w:w="667" w:type="dxa"/>
            <w:shd w:val="clear" w:color="auto" w:fill="auto"/>
            <w:noWrap/>
            <w:tcMar>
              <w:left w:w="43" w:type="dxa"/>
              <w:right w:w="43" w:type="dxa"/>
            </w:tcMar>
            <w:vAlign w:val="center"/>
            <w:hideMark/>
          </w:tcPr>
          <w:p w:rsidR="001E1035" w:rsidRPr="00340FC0" w:rsidRDefault="00966314" w:rsidP="002B5AC6">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3,084</w:t>
            </w:r>
          </w:p>
        </w:tc>
        <w:tc>
          <w:tcPr>
            <w:tcW w:w="667" w:type="dxa"/>
            <w:shd w:val="clear" w:color="auto" w:fill="auto"/>
            <w:noWrap/>
            <w:tcMar>
              <w:left w:w="43" w:type="dxa"/>
              <w:right w:w="43" w:type="dxa"/>
            </w:tcMar>
            <w:vAlign w:val="center"/>
            <w:hideMark/>
          </w:tcPr>
          <w:p w:rsidR="001E1035" w:rsidRPr="00340FC0" w:rsidRDefault="00966314" w:rsidP="002B5AC6">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3,086</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3,089</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3,092</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3,094</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3,097</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3,099</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3,102</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3,104</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3,107</w:t>
            </w:r>
          </w:p>
        </w:tc>
        <w:tc>
          <w:tcPr>
            <w:tcW w:w="674"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3,110</w:t>
            </w:r>
          </w:p>
        </w:tc>
      </w:tr>
      <w:tr w:rsidR="001E1035" w:rsidRPr="00057782" w:rsidTr="00E640AA">
        <w:trPr>
          <w:trHeight w:val="432"/>
        </w:trPr>
        <w:tc>
          <w:tcPr>
            <w:tcW w:w="1435" w:type="dxa"/>
            <w:shd w:val="clear" w:color="auto" w:fill="auto"/>
            <w:noWrap/>
            <w:tcMar>
              <w:left w:w="43" w:type="dxa"/>
              <w:right w:w="43" w:type="dxa"/>
            </w:tcMar>
            <w:vAlign w:val="center"/>
            <w:hideMark/>
          </w:tcPr>
          <w:p w:rsidR="001E1035" w:rsidRPr="00057782" w:rsidRDefault="001E1035" w:rsidP="00057782">
            <w:pPr>
              <w:spacing w:after="0" w:line="240" w:lineRule="auto"/>
              <w:jc w:val="center"/>
              <w:rPr>
                <w:rFonts w:ascii="Arial" w:eastAsia="Times New Roman" w:hAnsi="Arial" w:cs="Arial"/>
                <w:color w:val="000000"/>
                <w:sz w:val="18"/>
                <w:szCs w:val="18"/>
              </w:rPr>
            </w:pPr>
            <w:r w:rsidRPr="00057782">
              <w:rPr>
                <w:rFonts w:ascii="Arial" w:eastAsia="Times New Roman" w:hAnsi="Arial" w:cs="Arial"/>
                <w:color w:val="000000"/>
                <w:sz w:val="18"/>
                <w:szCs w:val="18"/>
              </w:rPr>
              <w:t>2015</w:t>
            </w:r>
          </w:p>
        </w:tc>
        <w:tc>
          <w:tcPr>
            <w:tcW w:w="667" w:type="dxa"/>
            <w:shd w:val="clear" w:color="auto" w:fill="auto"/>
            <w:noWrap/>
            <w:tcMar>
              <w:left w:w="43" w:type="dxa"/>
              <w:right w:w="43" w:type="dxa"/>
            </w:tcMar>
            <w:vAlign w:val="center"/>
            <w:hideMark/>
          </w:tcPr>
          <w:p w:rsidR="001E1035" w:rsidRPr="00340FC0" w:rsidRDefault="00966314" w:rsidP="00057782">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3,112</w:t>
            </w:r>
          </w:p>
        </w:tc>
        <w:tc>
          <w:tcPr>
            <w:tcW w:w="667" w:type="dxa"/>
            <w:shd w:val="clear" w:color="auto" w:fill="auto"/>
            <w:noWrap/>
            <w:tcMar>
              <w:left w:w="43" w:type="dxa"/>
              <w:right w:w="43" w:type="dxa"/>
            </w:tcMar>
            <w:vAlign w:val="center"/>
            <w:hideMark/>
          </w:tcPr>
          <w:p w:rsidR="001E1035" w:rsidRPr="00340FC0" w:rsidRDefault="00966314" w:rsidP="002B5AC6">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3,115</w:t>
            </w:r>
          </w:p>
        </w:tc>
        <w:tc>
          <w:tcPr>
            <w:tcW w:w="667" w:type="dxa"/>
            <w:shd w:val="clear" w:color="auto" w:fill="auto"/>
            <w:noWrap/>
            <w:tcMar>
              <w:left w:w="43" w:type="dxa"/>
              <w:right w:w="43" w:type="dxa"/>
            </w:tcMar>
            <w:vAlign w:val="center"/>
            <w:hideMark/>
          </w:tcPr>
          <w:p w:rsidR="001E1035" w:rsidRPr="00340FC0" w:rsidRDefault="00966314" w:rsidP="002B5AC6">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3,117</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3,120</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3,123</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3,125</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3,128</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3,130</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3,133</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3,136</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3,138</w:t>
            </w:r>
          </w:p>
        </w:tc>
        <w:tc>
          <w:tcPr>
            <w:tcW w:w="674"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3,141</w:t>
            </w:r>
          </w:p>
        </w:tc>
      </w:tr>
      <w:tr w:rsidR="001E1035" w:rsidRPr="00057782" w:rsidTr="00E640AA">
        <w:trPr>
          <w:trHeight w:val="432"/>
        </w:trPr>
        <w:tc>
          <w:tcPr>
            <w:tcW w:w="1435" w:type="dxa"/>
            <w:shd w:val="clear" w:color="auto" w:fill="auto"/>
            <w:noWrap/>
            <w:tcMar>
              <w:left w:w="43" w:type="dxa"/>
              <w:right w:w="43" w:type="dxa"/>
            </w:tcMar>
            <w:vAlign w:val="center"/>
            <w:hideMark/>
          </w:tcPr>
          <w:p w:rsidR="001E1035" w:rsidRPr="00057782" w:rsidRDefault="001E1035" w:rsidP="00057782">
            <w:pPr>
              <w:spacing w:after="0" w:line="240" w:lineRule="auto"/>
              <w:jc w:val="center"/>
              <w:rPr>
                <w:rFonts w:ascii="Arial" w:eastAsia="Times New Roman" w:hAnsi="Arial" w:cs="Arial"/>
                <w:color w:val="000000"/>
                <w:sz w:val="18"/>
                <w:szCs w:val="18"/>
              </w:rPr>
            </w:pPr>
            <w:r w:rsidRPr="00057782">
              <w:rPr>
                <w:rFonts w:ascii="Arial" w:eastAsia="Times New Roman" w:hAnsi="Arial" w:cs="Arial"/>
                <w:color w:val="000000"/>
                <w:sz w:val="18"/>
                <w:szCs w:val="18"/>
              </w:rPr>
              <w:t>2016</w:t>
            </w:r>
            <w:r w:rsidR="00CA470C">
              <w:rPr>
                <w:rFonts w:ascii="Arial" w:eastAsia="Times New Roman" w:hAnsi="Arial" w:cs="Arial"/>
                <w:color w:val="000000"/>
                <w:sz w:val="18"/>
                <w:szCs w:val="18"/>
              </w:rPr>
              <w:t>–</w:t>
            </w:r>
            <w:r w:rsidRPr="00057782">
              <w:rPr>
                <w:rFonts w:ascii="Arial" w:eastAsia="Times New Roman" w:hAnsi="Arial" w:cs="Arial"/>
                <w:color w:val="000000"/>
                <w:sz w:val="18"/>
                <w:szCs w:val="18"/>
              </w:rPr>
              <w:t>2023</w:t>
            </w:r>
          </w:p>
        </w:tc>
        <w:tc>
          <w:tcPr>
            <w:tcW w:w="667" w:type="dxa"/>
            <w:shd w:val="clear" w:color="auto" w:fill="auto"/>
            <w:noWrap/>
            <w:tcMar>
              <w:left w:w="43" w:type="dxa"/>
              <w:right w:w="43" w:type="dxa"/>
            </w:tcMar>
            <w:vAlign w:val="center"/>
            <w:hideMark/>
          </w:tcPr>
          <w:p w:rsidR="001E1035" w:rsidRPr="00340FC0" w:rsidRDefault="00966314" w:rsidP="00057782">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3,141</w:t>
            </w:r>
          </w:p>
        </w:tc>
        <w:tc>
          <w:tcPr>
            <w:tcW w:w="667" w:type="dxa"/>
            <w:shd w:val="clear" w:color="auto" w:fill="auto"/>
            <w:noWrap/>
            <w:tcMar>
              <w:left w:w="43" w:type="dxa"/>
              <w:right w:w="43" w:type="dxa"/>
            </w:tcMar>
            <w:vAlign w:val="center"/>
            <w:hideMark/>
          </w:tcPr>
          <w:p w:rsidR="001E1035" w:rsidRPr="00340FC0" w:rsidRDefault="00966314" w:rsidP="002B5AC6">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3,141</w:t>
            </w:r>
          </w:p>
        </w:tc>
        <w:tc>
          <w:tcPr>
            <w:tcW w:w="667" w:type="dxa"/>
            <w:shd w:val="clear" w:color="auto" w:fill="auto"/>
            <w:noWrap/>
            <w:tcMar>
              <w:left w:w="43" w:type="dxa"/>
              <w:right w:w="43" w:type="dxa"/>
            </w:tcMar>
            <w:vAlign w:val="center"/>
            <w:hideMark/>
          </w:tcPr>
          <w:p w:rsidR="001E1035" w:rsidRPr="00340FC0" w:rsidRDefault="00966314" w:rsidP="002B5AC6">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3,141</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3,141</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3,141</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3,141</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3,141</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3,141</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3,141</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3,141</w:t>
            </w:r>
          </w:p>
        </w:tc>
        <w:tc>
          <w:tcPr>
            <w:tcW w:w="667"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3,141</w:t>
            </w:r>
          </w:p>
        </w:tc>
        <w:tc>
          <w:tcPr>
            <w:tcW w:w="674" w:type="dxa"/>
            <w:shd w:val="clear" w:color="auto" w:fill="auto"/>
            <w:noWrap/>
            <w:tcMar>
              <w:left w:w="43" w:type="dxa"/>
              <w:right w:w="43" w:type="dxa"/>
            </w:tcMar>
            <w:vAlign w:val="center"/>
            <w:hideMark/>
          </w:tcPr>
          <w:p w:rsidR="001E3B5B" w:rsidRPr="00340FC0" w:rsidRDefault="00966314">
            <w:pPr>
              <w:spacing w:after="0" w:line="240" w:lineRule="auto"/>
              <w:jc w:val="center"/>
              <w:rPr>
                <w:rFonts w:ascii="Arial" w:eastAsia="Times New Roman" w:hAnsi="Arial" w:cs="Arial"/>
                <w:color w:val="000000"/>
                <w:sz w:val="18"/>
                <w:szCs w:val="18"/>
              </w:rPr>
            </w:pPr>
            <w:r w:rsidRPr="00340FC0">
              <w:rPr>
                <w:rFonts w:ascii="Arial" w:eastAsia="Times New Roman" w:hAnsi="Arial" w:cs="Arial"/>
                <w:color w:val="000000"/>
                <w:sz w:val="18"/>
                <w:szCs w:val="18"/>
              </w:rPr>
              <w:t>3,141</w:t>
            </w:r>
          </w:p>
        </w:tc>
      </w:tr>
    </w:tbl>
    <w:p w:rsidR="00FB0DDB" w:rsidRDefault="00FB0DDB" w:rsidP="00E640AA">
      <w:pPr>
        <w:pStyle w:val="Heading2"/>
        <w:spacing w:before="360"/>
        <w:rPr>
          <w:rFonts w:cs="Calibri"/>
        </w:rPr>
      </w:pPr>
      <w:bookmarkStart w:id="199" w:name="_Toc289178038"/>
      <w:bookmarkStart w:id="200" w:name="_Toc326072138"/>
      <w:bookmarkStart w:id="201" w:name="_Toc352323662"/>
      <w:r>
        <w:t>Annual System Peak Day Impacts</w:t>
      </w:r>
      <w:bookmarkEnd w:id="199"/>
      <w:bookmarkEnd w:id="200"/>
      <w:bookmarkEnd w:id="201"/>
    </w:p>
    <w:p w:rsidR="009B3149" w:rsidRDefault="009B3149" w:rsidP="009B3149">
      <w:pPr>
        <w:pStyle w:val="BodyParagraph"/>
      </w:pPr>
      <w:r>
        <w:t>Table 8-2 summarizes the aggregate load impac</w:t>
      </w:r>
      <w:r w:rsidR="00823236">
        <w:t>t estimates for customers taking SCE</w:t>
      </w:r>
      <w:r>
        <w:t>’s CPP tariff for each forecast year</w:t>
      </w:r>
      <w:r w:rsidR="00D14052">
        <w:t>, through 2023,</w:t>
      </w:r>
      <w:r>
        <w:t xml:space="preserve"> under both 1-in-2 and 1-in-10 weather year scenarios.  The table shows the average load reduction across the 1</w:t>
      </w:r>
      <w:r w:rsidR="00497509">
        <w:t>–</w:t>
      </w:r>
      <w:r>
        <w:t xml:space="preserve">6 PM event period for an August monthly system peak day. </w:t>
      </w:r>
      <w:r w:rsidR="00497509">
        <w:t xml:space="preserve"> </w:t>
      </w:r>
      <w:r>
        <w:t>As mentioned earlier, the results do not reflect adjustments for dual enrollment on other DR programs and assume the 1</w:t>
      </w:r>
      <w:r w:rsidR="00497509">
        <w:t>–</w:t>
      </w:r>
      <w:r>
        <w:t xml:space="preserve">2 PM demand reduction are equivalent to the </w:t>
      </w:r>
      <w:r w:rsidR="00497509">
        <w:t>2–</w:t>
      </w:r>
      <w:r>
        <w:t xml:space="preserve">6 PM demand reductions on a percentage basis.  </w:t>
      </w:r>
      <w:r w:rsidRPr="008F0E66">
        <w:t xml:space="preserve">The </w:t>
      </w:r>
      <w:r>
        <w:t>portfolio adjusted</w:t>
      </w:r>
      <w:r w:rsidRPr="008F0E66">
        <w:t xml:space="preserve"> estimates are summarized in </w:t>
      </w:r>
      <w:r w:rsidR="00216600" w:rsidRPr="00216600">
        <w:t xml:space="preserve">Appendix </w:t>
      </w:r>
      <w:r w:rsidR="00320D15">
        <w:t>D</w:t>
      </w:r>
      <w:r w:rsidRPr="00216600">
        <w:t>.</w:t>
      </w:r>
      <w:r>
        <w:t xml:space="preserve"> </w:t>
      </w:r>
    </w:p>
    <w:p w:rsidR="00216600" w:rsidRDefault="009B3149" w:rsidP="00D14052">
      <w:pPr>
        <w:pStyle w:val="BodyParagraph"/>
      </w:pPr>
      <w:r>
        <w:t xml:space="preserve">Differences in </w:t>
      </w:r>
      <w:r w:rsidR="00977880">
        <w:t xml:space="preserve">aggregate </w:t>
      </w:r>
      <w:r>
        <w:t xml:space="preserve">demand reductions from year to year are a direct result of changes in enrollment and the customer mix.  </w:t>
      </w:r>
      <w:r w:rsidR="00FB0DDB">
        <w:t>The aggregate load impacts, in the sixth column, stay relatively constant across forecast years and both 1-in-2 and 1-in-10 weather year conditions.  On the lo</w:t>
      </w:r>
      <w:r w:rsidR="00D14052">
        <w:t>w end, aggregate impacts in 2013</w:t>
      </w:r>
      <w:r w:rsidR="00FB0DDB">
        <w:t xml:space="preserve"> under the 1-in-10 weathe</w:t>
      </w:r>
      <w:r w:rsidR="00D14052">
        <w:t>r scenario are forecast to be 27.1</w:t>
      </w:r>
      <w:r w:rsidR="00FB0DDB">
        <w:t xml:space="preserve"> MW.  At the upper end, the forecasted aggregate impacts are </w:t>
      </w:r>
      <w:r w:rsidR="00D14052">
        <w:t>28.6</w:t>
      </w:r>
      <w:r w:rsidR="00FB0DDB">
        <w:t xml:space="preserve"> MW in </w:t>
      </w:r>
      <w:r w:rsidR="00D14052">
        <w:t xml:space="preserve">the </w:t>
      </w:r>
      <w:r w:rsidR="00FB0DDB">
        <w:t>201</w:t>
      </w:r>
      <w:r w:rsidR="00D14052">
        <w:t>6</w:t>
      </w:r>
      <w:r w:rsidR="00CA470C">
        <w:t>–</w:t>
      </w:r>
      <w:r w:rsidR="00FB0DDB">
        <w:t>202</w:t>
      </w:r>
      <w:r w:rsidR="00D14052">
        <w:t>3</w:t>
      </w:r>
      <w:r w:rsidR="00FB0DDB">
        <w:t xml:space="preserve"> </w:t>
      </w:r>
      <w:r w:rsidR="00D14052">
        <w:t xml:space="preserve">period </w:t>
      </w:r>
      <w:r w:rsidR="00FB0DDB">
        <w:t>under the 1-in-2 weather year scenario.  In general, large CPP customers are not highly weather sensitive so their impacts do not change significantly between 1-in-2 and 1-in-10 weather years.  Although SCE is expecting enrollment to increase slightly, the reference loads and impacts remain constant and linearly related to the number of customer</w:t>
      </w:r>
      <w:r w:rsidR="00497509">
        <w:t>s</w:t>
      </w:r>
      <w:r w:rsidR="00FB0DDB">
        <w:t xml:space="preserve"> enrolled because customers currently on CPP are assumed to be fully representative of the small number of customers who will join the program in the future.</w:t>
      </w:r>
      <w:r w:rsidR="00497509">
        <w:t xml:space="preserve">  </w:t>
      </w:r>
      <w:r w:rsidR="00B15979">
        <w:t>W</w:t>
      </w:r>
      <w:r w:rsidR="00FB0DDB">
        <w:t>hile large C&amp;I CPP enrollment increases, percent impacts are assumed to remain</w:t>
      </w:r>
      <w:r w:rsidR="00497509">
        <w:t> </w:t>
      </w:r>
      <w:r w:rsidR="00FB0DDB">
        <w:t xml:space="preserve">constant. </w:t>
      </w:r>
    </w:p>
    <w:p w:rsidR="00216600" w:rsidRDefault="00216600">
      <w:pPr>
        <w:rPr>
          <w:rFonts w:ascii="Verdana" w:hAnsi="Verdana"/>
          <w:sz w:val="18"/>
        </w:rPr>
      </w:pPr>
      <w:r>
        <w:br w:type="page"/>
      </w:r>
    </w:p>
    <w:p w:rsidR="00FB0DDB" w:rsidRDefault="00FB0DDB" w:rsidP="00FB0DDB">
      <w:pPr>
        <w:pStyle w:val="TableFigureCaption"/>
      </w:pPr>
      <w:r>
        <w:lastRenderedPageBreak/>
        <w:t>Table 8-2:</w:t>
      </w:r>
      <w:r w:rsidR="00626371">
        <w:t xml:space="preserve"> </w:t>
      </w:r>
      <w:r w:rsidR="007E42FD">
        <w:t>SCE August Peak Day CPP Program Load Impacts</w:t>
      </w:r>
      <w:r>
        <w:br/>
        <w:t>(</w:t>
      </w:r>
      <w:r w:rsidR="007E42FD">
        <w:t>Hourly Average Reduction in MW o</w:t>
      </w:r>
      <w:r>
        <w:t>ver Event Day Period 1</w:t>
      </w:r>
      <w:r w:rsidR="00CA470C">
        <w:t>–</w:t>
      </w:r>
      <w:r>
        <w:t>6 PM)</w:t>
      </w:r>
    </w:p>
    <w:tbl>
      <w:tblPr>
        <w:tblW w:w="9738"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260"/>
        <w:gridCol w:w="1211"/>
        <w:gridCol w:w="1210"/>
        <w:gridCol w:w="1606"/>
        <w:gridCol w:w="1151"/>
        <w:gridCol w:w="1194"/>
        <w:gridCol w:w="1116"/>
      </w:tblGrid>
      <w:tr w:rsidR="00F05D44" w:rsidRPr="00F05D44" w:rsidTr="00A907B2">
        <w:trPr>
          <w:trHeight w:val="780"/>
        </w:trPr>
        <w:tc>
          <w:tcPr>
            <w:tcW w:w="990" w:type="dxa"/>
            <w:vMerge w:val="restart"/>
            <w:tcBorders>
              <w:right w:val="single" w:sz="4" w:space="0" w:color="FFFFFF" w:themeColor="background1"/>
            </w:tcBorders>
            <w:shd w:val="clear" w:color="000000" w:fill="1F497D"/>
            <w:vAlign w:val="center"/>
            <w:hideMark/>
          </w:tcPr>
          <w:p w:rsidR="00F05D44" w:rsidRPr="00340FC0" w:rsidRDefault="00966314" w:rsidP="007E27F3">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Weather Year</w:t>
            </w:r>
          </w:p>
        </w:tc>
        <w:tc>
          <w:tcPr>
            <w:tcW w:w="1260" w:type="dxa"/>
            <w:vMerge w:val="restart"/>
            <w:tcBorders>
              <w:left w:val="single" w:sz="4" w:space="0" w:color="FFFFFF" w:themeColor="background1"/>
              <w:right w:val="single" w:sz="4" w:space="0" w:color="FFFFFF" w:themeColor="background1"/>
            </w:tcBorders>
            <w:shd w:val="clear" w:color="000000" w:fill="1F497D"/>
            <w:vAlign w:val="center"/>
            <w:hideMark/>
          </w:tcPr>
          <w:p w:rsidR="00F05D44" w:rsidRPr="00340FC0" w:rsidRDefault="00966314" w:rsidP="007E27F3">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Year</w:t>
            </w:r>
          </w:p>
        </w:tc>
        <w:tc>
          <w:tcPr>
            <w:tcW w:w="1211" w:type="dxa"/>
            <w:vMerge w:val="restart"/>
            <w:tcBorders>
              <w:left w:val="single" w:sz="4" w:space="0" w:color="FFFFFF" w:themeColor="background1"/>
              <w:right w:val="single" w:sz="4" w:space="0" w:color="FFFFFF" w:themeColor="background1"/>
            </w:tcBorders>
            <w:shd w:val="clear" w:color="000000" w:fill="1F497D"/>
            <w:vAlign w:val="center"/>
            <w:hideMark/>
          </w:tcPr>
          <w:p w:rsidR="00F05D44" w:rsidRPr="00340FC0" w:rsidRDefault="00966314" w:rsidP="007E27F3">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Forecasted Enrolled Accounts</w:t>
            </w:r>
          </w:p>
        </w:tc>
        <w:tc>
          <w:tcPr>
            <w:tcW w:w="1210" w:type="dxa"/>
            <w:tcBorders>
              <w:left w:val="single" w:sz="4" w:space="0" w:color="FFFFFF" w:themeColor="background1"/>
              <w:bottom w:val="single" w:sz="4" w:space="0" w:color="FFFFFF" w:themeColor="background1"/>
              <w:right w:val="single" w:sz="4" w:space="0" w:color="FFFFFF" w:themeColor="background1"/>
            </w:tcBorders>
            <w:shd w:val="clear" w:color="000000" w:fill="1F497D"/>
            <w:vAlign w:val="center"/>
            <w:hideMark/>
          </w:tcPr>
          <w:p w:rsidR="00F05D44" w:rsidRPr="00340FC0" w:rsidRDefault="00966314" w:rsidP="007E27F3">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Avg. Reference Load</w:t>
            </w:r>
          </w:p>
        </w:tc>
        <w:tc>
          <w:tcPr>
            <w:tcW w:w="1606" w:type="dxa"/>
            <w:tcBorders>
              <w:left w:val="single" w:sz="4" w:space="0" w:color="FFFFFF" w:themeColor="background1"/>
              <w:bottom w:val="single" w:sz="4" w:space="0" w:color="FFFFFF" w:themeColor="background1"/>
              <w:right w:val="single" w:sz="4" w:space="0" w:color="FFFFFF" w:themeColor="background1"/>
            </w:tcBorders>
            <w:shd w:val="clear" w:color="000000" w:fill="1F497D"/>
            <w:vAlign w:val="center"/>
            <w:hideMark/>
          </w:tcPr>
          <w:p w:rsidR="00F05D44" w:rsidRPr="00340FC0" w:rsidRDefault="00966314" w:rsidP="007E27F3">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Avg. Estimated Load with DR</w:t>
            </w:r>
          </w:p>
        </w:tc>
        <w:tc>
          <w:tcPr>
            <w:tcW w:w="1151" w:type="dxa"/>
            <w:tcBorders>
              <w:left w:val="single" w:sz="4" w:space="0" w:color="FFFFFF" w:themeColor="background1"/>
              <w:bottom w:val="single" w:sz="4" w:space="0" w:color="FFFFFF" w:themeColor="background1"/>
              <w:right w:val="single" w:sz="4" w:space="0" w:color="FFFFFF" w:themeColor="background1"/>
            </w:tcBorders>
            <w:shd w:val="clear" w:color="000000" w:fill="1F497D"/>
            <w:vAlign w:val="center"/>
            <w:hideMark/>
          </w:tcPr>
          <w:p w:rsidR="00F05D44" w:rsidRPr="00340FC0" w:rsidRDefault="00966314" w:rsidP="007E27F3">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Avg. Load Impact</w:t>
            </w:r>
          </w:p>
        </w:tc>
        <w:tc>
          <w:tcPr>
            <w:tcW w:w="1194" w:type="dxa"/>
            <w:tcBorders>
              <w:left w:val="single" w:sz="4" w:space="0" w:color="FFFFFF" w:themeColor="background1"/>
              <w:bottom w:val="single" w:sz="4" w:space="0" w:color="FFFFFF" w:themeColor="background1"/>
              <w:right w:val="single" w:sz="4" w:space="0" w:color="FFFFFF" w:themeColor="background1"/>
            </w:tcBorders>
            <w:shd w:val="clear" w:color="000000" w:fill="1F497D"/>
            <w:vAlign w:val="center"/>
            <w:hideMark/>
          </w:tcPr>
          <w:p w:rsidR="00F05D44" w:rsidRPr="00340FC0" w:rsidRDefault="00966314" w:rsidP="007E27F3">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 Load Reduction</w:t>
            </w:r>
          </w:p>
        </w:tc>
        <w:tc>
          <w:tcPr>
            <w:tcW w:w="1116" w:type="dxa"/>
            <w:tcBorders>
              <w:left w:val="single" w:sz="4" w:space="0" w:color="FFFFFF" w:themeColor="background1"/>
              <w:bottom w:val="single" w:sz="4" w:space="0" w:color="FFFFFF" w:themeColor="background1"/>
            </w:tcBorders>
            <w:shd w:val="clear" w:color="000000" w:fill="1F497D"/>
            <w:vAlign w:val="center"/>
            <w:hideMark/>
          </w:tcPr>
          <w:p w:rsidR="00F05D44" w:rsidRPr="00340FC0" w:rsidRDefault="00966314" w:rsidP="007E27F3">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Weighted Temp</w:t>
            </w:r>
          </w:p>
        </w:tc>
      </w:tr>
      <w:tr w:rsidR="00F05D44" w:rsidRPr="00F05D44" w:rsidTr="00A907B2">
        <w:trPr>
          <w:trHeight w:val="300"/>
        </w:trPr>
        <w:tc>
          <w:tcPr>
            <w:tcW w:w="990" w:type="dxa"/>
            <w:vMerge/>
            <w:tcBorders>
              <w:right w:val="single" w:sz="4" w:space="0" w:color="FFFFFF" w:themeColor="background1"/>
            </w:tcBorders>
            <w:vAlign w:val="center"/>
            <w:hideMark/>
          </w:tcPr>
          <w:p w:rsidR="00F05D44" w:rsidRPr="00340FC0" w:rsidRDefault="00F05D44" w:rsidP="007E27F3">
            <w:pPr>
              <w:spacing w:after="0" w:line="240" w:lineRule="auto"/>
              <w:jc w:val="center"/>
              <w:rPr>
                <w:rFonts w:ascii="Arial" w:eastAsia="Times New Roman" w:hAnsi="Arial" w:cs="Arial"/>
                <w:b/>
                <w:bCs/>
                <w:color w:val="FFFFFF"/>
                <w:sz w:val="18"/>
                <w:szCs w:val="18"/>
              </w:rPr>
            </w:pPr>
          </w:p>
        </w:tc>
        <w:tc>
          <w:tcPr>
            <w:tcW w:w="1260" w:type="dxa"/>
            <w:vMerge/>
            <w:tcBorders>
              <w:left w:val="single" w:sz="4" w:space="0" w:color="FFFFFF" w:themeColor="background1"/>
              <w:right w:val="single" w:sz="4" w:space="0" w:color="FFFFFF" w:themeColor="background1"/>
            </w:tcBorders>
            <w:vAlign w:val="center"/>
            <w:hideMark/>
          </w:tcPr>
          <w:p w:rsidR="00F05D44" w:rsidRPr="00340FC0" w:rsidRDefault="00F05D44" w:rsidP="007E27F3">
            <w:pPr>
              <w:spacing w:after="0" w:line="240" w:lineRule="auto"/>
              <w:jc w:val="center"/>
              <w:rPr>
                <w:rFonts w:ascii="Arial" w:eastAsia="Times New Roman" w:hAnsi="Arial" w:cs="Arial"/>
                <w:b/>
                <w:bCs/>
                <w:color w:val="FFFFFF"/>
                <w:sz w:val="18"/>
                <w:szCs w:val="18"/>
              </w:rPr>
            </w:pPr>
          </w:p>
        </w:tc>
        <w:tc>
          <w:tcPr>
            <w:tcW w:w="1211" w:type="dxa"/>
            <w:vMerge/>
            <w:tcBorders>
              <w:left w:val="single" w:sz="4" w:space="0" w:color="FFFFFF" w:themeColor="background1"/>
              <w:right w:val="single" w:sz="4" w:space="0" w:color="FFFFFF" w:themeColor="background1"/>
            </w:tcBorders>
            <w:vAlign w:val="center"/>
            <w:hideMark/>
          </w:tcPr>
          <w:p w:rsidR="00F05D44" w:rsidRPr="00340FC0" w:rsidRDefault="00F05D44" w:rsidP="007E27F3">
            <w:pPr>
              <w:spacing w:after="0" w:line="240" w:lineRule="auto"/>
              <w:jc w:val="center"/>
              <w:rPr>
                <w:rFonts w:ascii="Arial" w:eastAsia="Times New Roman" w:hAnsi="Arial" w:cs="Arial"/>
                <w:b/>
                <w:bCs/>
                <w:color w:val="FFFFFF"/>
                <w:sz w:val="18"/>
                <w:szCs w:val="18"/>
              </w:rPr>
            </w:pPr>
          </w:p>
        </w:tc>
        <w:tc>
          <w:tcPr>
            <w:tcW w:w="121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F05D44" w:rsidRPr="00057782" w:rsidRDefault="007E27F3" w:rsidP="007E27F3">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MW</w:t>
            </w:r>
            <w:r>
              <w:rPr>
                <w:rFonts w:ascii="Arial" w:eastAsia="Times New Roman" w:hAnsi="Arial" w:cs="Arial"/>
                <w:b/>
                <w:bCs/>
                <w:color w:val="FFFFFF"/>
                <w:sz w:val="18"/>
                <w:szCs w:val="18"/>
              </w:rPr>
              <w:br/>
            </w:r>
            <w:r w:rsidR="00F05D44" w:rsidRPr="00057782">
              <w:rPr>
                <w:rFonts w:ascii="Arial" w:eastAsia="Times New Roman" w:hAnsi="Arial" w:cs="Arial"/>
                <w:b/>
                <w:bCs/>
                <w:color w:val="FFFFFF"/>
                <w:sz w:val="18"/>
                <w:szCs w:val="18"/>
              </w:rPr>
              <w:t>1</w:t>
            </w:r>
            <w:r w:rsidR="00CA470C">
              <w:rPr>
                <w:rFonts w:ascii="Arial" w:eastAsia="Times New Roman" w:hAnsi="Arial" w:cs="Arial"/>
                <w:b/>
                <w:bCs/>
                <w:color w:val="FFFFFF"/>
                <w:sz w:val="18"/>
                <w:szCs w:val="18"/>
              </w:rPr>
              <w:t>–</w:t>
            </w:r>
            <w:r w:rsidR="00F05D44" w:rsidRPr="00057782">
              <w:rPr>
                <w:rFonts w:ascii="Arial" w:eastAsia="Times New Roman" w:hAnsi="Arial" w:cs="Arial"/>
                <w:b/>
                <w:bCs/>
                <w:color w:val="FFFFFF"/>
                <w:sz w:val="18"/>
                <w:szCs w:val="18"/>
              </w:rPr>
              <w:t>6 PM</w:t>
            </w:r>
          </w:p>
        </w:tc>
        <w:tc>
          <w:tcPr>
            <w:tcW w:w="1606"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F05D44" w:rsidRPr="002B5AC6" w:rsidRDefault="007E27F3" w:rsidP="007E27F3">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MW</w:t>
            </w:r>
            <w:r>
              <w:rPr>
                <w:rFonts w:ascii="Arial" w:eastAsia="Times New Roman" w:hAnsi="Arial" w:cs="Arial"/>
                <w:b/>
                <w:bCs/>
                <w:color w:val="FFFFFF"/>
                <w:sz w:val="18"/>
                <w:szCs w:val="18"/>
              </w:rPr>
              <w:br/>
            </w:r>
            <w:r w:rsidR="00F05D44" w:rsidRPr="002B5AC6">
              <w:rPr>
                <w:rFonts w:ascii="Arial" w:eastAsia="Times New Roman" w:hAnsi="Arial" w:cs="Arial"/>
                <w:b/>
                <w:bCs/>
                <w:color w:val="FFFFFF"/>
                <w:sz w:val="18"/>
                <w:szCs w:val="18"/>
              </w:rPr>
              <w:t>1</w:t>
            </w:r>
            <w:r w:rsidR="00CA470C">
              <w:rPr>
                <w:rFonts w:ascii="Arial" w:eastAsia="Times New Roman" w:hAnsi="Arial" w:cs="Arial"/>
                <w:b/>
                <w:bCs/>
                <w:color w:val="FFFFFF"/>
                <w:sz w:val="18"/>
                <w:szCs w:val="18"/>
              </w:rPr>
              <w:t>–</w:t>
            </w:r>
            <w:r w:rsidR="00F05D44" w:rsidRPr="002B5AC6">
              <w:rPr>
                <w:rFonts w:ascii="Arial" w:eastAsia="Times New Roman" w:hAnsi="Arial" w:cs="Arial"/>
                <w:b/>
                <w:bCs/>
                <w:color w:val="FFFFFF"/>
                <w:sz w:val="18"/>
                <w:szCs w:val="18"/>
              </w:rPr>
              <w:t>6 PM</w:t>
            </w:r>
          </w:p>
        </w:tc>
        <w:tc>
          <w:tcPr>
            <w:tcW w:w="1151"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F05D44" w:rsidRPr="002B5AC6" w:rsidRDefault="007E27F3" w:rsidP="007E27F3">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MW</w:t>
            </w:r>
            <w:r>
              <w:rPr>
                <w:rFonts w:ascii="Arial" w:eastAsia="Times New Roman" w:hAnsi="Arial" w:cs="Arial"/>
                <w:b/>
                <w:bCs/>
                <w:color w:val="FFFFFF"/>
                <w:sz w:val="18"/>
                <w:szCs w:val="18"/>
              </w:rPr>
              <w:br/>
            </w:r>
            <w:r w:rsidR="00F05D44" w:rsidRPr="002B5AC6">
              <w:rPr>
                <w:rFonts w:ascii="Arial" w:eastAsia="Times New Roman" w:hAnsi="Arial" w:cs="Arial"/>
                <w:b/>
                <w:bCs/>
                <w:color w:val="FFFFFF"/>
                <w:sz w:val="18"/>
                <w:szCs w:val="18"/>
              </w:rPr>
              <w:t>1</w:t>
            </w:r>
            <w:r w:rsidR="00CA470C">
              <w:rPr>
                <w:rFonts w:ascii="Arial" w:eastAsia="Times New Roman" w:hAnsi="Arial" w:cs="Arial"/>
                <w:b/>
                <w:bCs/>
                <w:color w:val="FFFFFF"/>
                <w:sz w:val="18"/>
                <w:szCs w:val="18"/>
              </w:rPr>
              <w:t>–</w:t>
            </w:r>
            <w:r w:rsidR="00F05D44" w:rsidRPr="002B5AC6">
              <w:rPr>
                <w:rFonts w:ascii="Arial" w:eastAsia="Times New Roman" w:hAnsi="Arial" w:cs="Arial"/>
                <w:b/>
                <w:bCs/>
                <w:color w:val="FFFFFF"/>
                <w:sz w:val="18"/>
                <w:szCs w:val="18"/>
              </w:rPr>
              <w:t>6 PM</w:t>
            </w:r>
          </w:p>
        </w:tc>
        <w:tc>
          <w:tcPr>
            <w:tcW w:w="1194"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F05D44" w:rsidRPr="00057782" w:rsidRDefault="007E27F3" w:rsidP="007E27F3">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MW</w:t>
            </w:r>
            <w:r>
              <w:rPr>
                <w:rFonts w:ascii="Arial" w:eastAsia="Times New Roman" w:hAnsi="Arial" w:cs="Arial"/>
                <w:b/>
                <w:bCs/>
                <w:color w:val="FFFFFF"/>
                <w:sz w:val="18"/>
                <w:szCs w:val="18"/>
              </w:rPr>
              <w:br/>
            </w:r>
            <w:r w:rsidR="00966314">
              <w:rPr>
                <w:rFonts w:ascii="Arial" w:eastAsia="Times New Roman" w:hAnsi="Arial" w:cs="Arial"/>
                <w:b/>
                <w:bCs/>
                <w:color w:val="FFFFFF"/>
                <w:sz w:val="18"/>
                <w:szCs w:val="18"/>
              </w:rPr>
              <w:t>1</w:t>
            </w:r>
            <w:r w:rsidR="00CA470C">
              <w:rPr>
                <w:rFonts w:ascii="Arial" w:eastAsia="Times New Roman" w:hAnsi="Arial" w:cs="Arial"/>
                <w:b/>
                <w:bCs/>
                <w:color w:val="FFFFFF"/>
                <w:sz w:val="18"/>
                <w:szCs w:val="18"/>
              </w:rPr>
              <w:t>–</w:t>
            </w:r>
            <w:r w:rsidR="00966314">
              <w:rPr>
                <w:rFonts w:ascii="Arial" w:eastAsia="Times New Roman" w:hAnsi="Arial" w:cs="Arial"/>
                <w:b/>
                <w:bCs/>
                <w:color w:val="FFFFFF"/>
                <w:sz w:val="18"/>
                <w:szCs w:val="18"/>
              </w:rPr>
              <w:t>6 PM</w:t>
            </w:r>
          </w:p>
        </w:tc>
        <w:tc>
          <w:tcPr>
            <w:tcW w:w="1116" w:type="dxa"/>
            <w:tcBorders>
              <w:top w:val="single" w:sz="4" w:space="0" w:color="FFFFFF" w:themeColor="background1"/>
              <w:left w:val="single" w:sz="4" w:space="0" w:color="FFFFFF" w:themeColor="background1"/>
            </w:tcBorders>
            <w:shd w:val="clear" w:color="000000" w:fill="1F497D"/>
            <w:vAlign w:val="center"/>
            <w:hideMark/>
          </w:tcPr>
          <w:p w:rsidR="00F05D44" w:rsidRPr="00340FC0" w:rsidRDefault="00966314" w:rsidP="007E27F3">
            <w:pPr>
              <w:spacing w:after="0" w:line="240" w:lineRule="auto"/>
              <w:jc w:val="center"/>
              <w:rPr>
                <w:rFonts w:ascii="Arial" w:eastAsia="Times New Roman" w:hAnsi="Arial" w:cs="Arial"/>
                <w:b/>
                <w:bCs/>
                <w:color w:val="FFFFFF"/>
                <w:sz w:val="18"/>
                <w:szCs w:val="18"/>
              </w:rPr>
            </w:pPr>
            <w:r w:rsidRPr="00340FC0">
              <w:rPr>
                <w:rFonts w:ascii="Arial" w:eastAsia="Times New Roman" w:hAnsi="Arial" w:cs="Arial"/>
                <w:b/>
                <w:bCs/>
                <w:color w:val="FFFFFF"/>
                <w:sz w:val="18"/>
                <w:szCs w:val="18"/>
              </w:rPr>
              <w:t>(°F)</w:t>
            </w:r>
          </w:p>
        </w:tc>
      </w:tr>
      <w:tr w:rsidR="00F05D44" w:rsidRPr="00F05D44" w:rsidTr="00A907B2">
        <w:trPr>
          <w:trHeight w:val="432"/>
        </w:trPr>
        <w:tc>
          <w:tcPr>
            <w:tcW w:w="990" w:type="dxa"/>
            <w:vMerge w:val="restart"/>
            <w:shd w:val="clear" w:color="auto" w:fill="auto"/>
            <w:vAlign w:val="center"/>
            <w:hideMark/>
          </w:tcPr>
          <w:p w:rsidR="00F05D44" w:rsidRPr="00F05D44" w:rsidRDefault="00F05D44" w:rsidP="00057782">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1-in-10 August System Peak Day</w:t>
            </w:r>
          </w:p>
        </w:tc>
        <w:tc>
          <w:tcPr>
            <w:tcW w:w="1260"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2012</w:t>
            </w:r>
          </w:p>
        </w:tc>
        <w:tc>
          <w:tcPr>
            <w:tcW w:w="1211"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3,046</w:t>
            </w:r>
          </w:p>
        </w:tc>
        <w:tc>
          <w:tcPr>
            <w:tcW w:w="1210"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691.4</w:t>
            </w:r>
          </w:p>
        </w:tc>
        <w:tc>
          <w:tcPr>
            <w:tcW w:w="160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662.1</w:t>
            </w:r>
          </w:p>
        </w:tc>
        <w:tc>
          <w:tcPr>
            <w:tcW w:w="1151"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29.3</w:t>
            </w:r>
          </w:p>
        </w:tc>
        <w:tc>
          <w:tcPr>
            <w:tcW w:w="1194"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4.23%</w:t>
            </w:r>
          </w:p>
        </w:tc>
        <w:tc>
          <w:tcPr>
            <w:tcW w:w="111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95.5</w:t>
            </w:r>
          </w:p>
        </w:tc>
      </w:tr>
      <w:tr w:rsidR="00F05D44" w:rsidRPr="00F05D44" w:rsidTr="00A907B2">
        <w:trPr>
          <w:trHeight w:val="432"/>
        </w:trPr>
        <w:tc>
          <w:tcPr>
            <w:tcW w:w="990" w:type="dxa"/>
            <w:vMerge/>
            <w:vAlign w:val="center"/>
            <w:hideMark/>
          </w:tcPr>
          <w:p w:rsidR="001E3B5B" w:rsidRDefault="001E3B5B" w:rsidP="00340FC0">
            <w:pPr>
              <w:spacing w:after="0" w:line="240" w:lineRule="auto"/>
              <w:jc w:val="center"/>
              <w:rPr>
                <w:rFonts w:ascii="Arial" w:eastAsia="Times New Roman" w:hAnsi="Arial" w:cs="Arial"/>
                <w:color w:val="000000"/>
                <w:sz w:val="18"/>
                <w:szCs w:val="18"/>
              </w:rPr>
            </w:pPr>
          </w:p>
        </w:tc>
        <w:tc>
          <w:tcPr>
            <w:tcW w:w="1260" w:type="dxa"/>
            <w:shd w:val="clear" w:color="auto" w:fill="auto"/>
            <w:noWrap/>
            <w:vAlign w:val="center"/>
            <w:hideMark/>
          </w:tcPr>
          <w:p w:rsidR="00F05D44" w:rsidRPr="00F05D44" w:rsidRDefault="00F05D44" w:rsidP="00057782">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2013</w:t>
            </w:r>
          </w:p>
        </w:tc>
        <w:tc>
          <w:tcPr>
            <w:tcW w:w="1211"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3,068</w:t>
            </w:r>
          </w:p>
        </w:tc>
        <w:tc>
          <w:tcPr>
            <w:tcW w:w="1210"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696.5</w:t>
            </w:r>
          </w:p>
        </w:tc>
        <w:tc>
          <w:tcPr>
            <w:tcW w:w="160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667.0</w:t>
            </w:r>
          </w:p>
        </w:tc>
        <w:tc>
          <w:tcPr>
            <w:tcW w:w="1151"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29.5</w:t>
            </w:r>
          </w:p>
        </w:tc>
        <w:tc>
          <w:tcPr>
            <w:tcW w:w="1194"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4.23%</w:t>
            </w:r>
          </w:p>
        </w:tc>
        <w:tc>
          <w:tcPr>
            <w:tcW w:w="111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95.5</w:t>
            </w:r>
          </w:p>
        </w:tc>
      </w:tr>
      <w:tr w:rsidR="00F05D44" w:rsidRPr="00F05D44" w:rsidTr="00A907B2">
        <w:trPr>
          <w:trHeight w:val="432"/>
        </w:trPr>
        <w:tc>
          <w:tcPr>
            <w:tcW w:w="990" w:type="dxa"/>
            <w:vMerge/>
            <w:vAlign w:val="center"/>
            <w:hideMark/>
          </w:tcPr>
          <w:p w:rsidR="001E3B5B" w:rsidRDefault="001E3B5B" w:rsidP="00340FC0">
            <w:pPr>
              <w:spacing w:after="0" w:line="240" w:lineRule="auto"/>
              <w:jc w:val="center"/>
              <w:rPr>
                <w:rFonts w:ascii="Arial" w:eastAsia="Times New Roman" w:hAnsi="Arial" w:cs="Arial"/>
                <w:color w:val="000000"/>
                <w:sz w:val="18"/>
                <w:szCs w:val="18"/>
              </w:rPr>
            </w:pPr>
          </w:p>
        </w:tc>
        <w:tc>
          <w:tcPr>
            <w:tcW w:w="1260" w:type="dxa"/>
            <w:shd w:val="clear" w:color="auto" w:fill="auto"/>
            <w:noWrap/>
            <w:vAlign w:val="center"/>
            <w:hideMark/>
          </w:tcPr>
          <w:p w:rsidR="00F05D44" w:rsidRPr="00F05D44" w:rsidRDefault="00F05D44" w:rsidP="00057782">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2014</w:t>
            </w:r>
          </w:p>
        </w:tc>
        <w:tc>
          <w:tcPr>
            <w:tcW w:w="1211"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3,099</w:t>
            </w:r>
          </w:p>
        </w:tc>
        <w:tc>
          <w:tcPr>
            <w:tcW w:w="1210"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703.5</w:t>
            </w:r>
          </w:p>
        </w:tc>
        <w:tc>
          <w:tcPr>
            <w:tcW w:w="160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673.7</w:t>
            </w:r>
          </w:p>
        </w:tc>
        <w:tc>
          <w:tcPr>
            <w:tcW w:w="1151"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29.8</w:t>
            </w:r>
          </w:p>
        </w:tc>
        <w:tc>
          <w:tcPr>
            <w:tcW w:w="1194"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4.23%</w:t>
            </w:r>
          </w:p>
        </w:tc>
        <w:tc>
          <w:tcPr>
            <w:tcW w:w="111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95.5</w:t>
            </w:r>
          </w:p>
        </w:tc>
      </w:tr>
      <w:tr w:rsidR="00F05D44" w:rsidRPr="00F05D44" w:rsidTr="00A907B2">
        <w:trPr>
          <w:trHeight w:val="432"/>
        </w:trPr>
        <w:tc>
          <w:tcPr>
            <w:tcW w:w="990" w:type="dxa"/>
            <w:vMerge/>
            <w:vAlign w:val="center"/>
            <w:hideMark/>
          </w:tcPr>
          <w:p w:rsidR="001E3B5B" w:rsidRDefault="001E3B5B" w:rsidP="00340FC0">
            <w:pPr>
              <w:spacing w:after="0" w:line="240" w:lineRule="auto"/>
              <w:jc w:val="center"/>
              <w:rPr>
                <w:rFonts w:ascii="Arial" w:eastAsia="Times New Roman" w:hAnsi="Arial" w:cs="Arial"/>
                <w:color w:val="000000"/>
                <w:sz w:val="18"/>
                <w:szCs w:val="18"/>
              </w:rPr>
            </w:pPr>
          </w:p>
        </w:tc>
        <w:tc>
          <w:tcPr>
            <w:tcW w:w="1260" w:type="dxa"/>
            <w:shd w:val="clear" w:color="auto" w:fill="auto"/>
            <w:noWrap/>
            <w:vAlign w:val="center"/>
            <w:hideMark/>
          </w:tcPr>
          <w:p w:rsidR="00F05D44" w:rsidRPr="00F05D44" w:rsidRDefault="00F05D44" w:rsidP="00057782">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2015</w:t>
            </w:r>
          </w:p>
        </w:tc>
        <w:tc>
          <w:tcPr>
            <w:tcW w:w="1211"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3,130</w:t>
            </w:r>
          </w:p>
        </w:tc>
        <w:tc>
          <w:tcPr>
            <w:tcW w:w="1210"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710.5</w:t>
            </w:r>
          </w:p>
        </w:tc>
        <w:tc>
          <w:tcPr>
            <w:tcW w:w="160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680.4</w:t>
            </w:r>
          </w:p>
        </w:tc>
        <w:tc>
          <w:tcPr>
            <w:tcW w:w="1151"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30.1</w:t>
            </w:r>
          </w:p>
        </w:tc>
        <w:tc>
          <w:tcPr>
            <w:tcW w:w="1194"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4.23%</w:t>
            </w:r>
          </w:p>
        </w:tc>
        <w:tc>
          <w:tcPr>
            <w:tcW w:w="111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95.5</w:t>
            </w:r>
          </w:p>
        </w:tc>
      </w:tr>
      <w:tr w:rsidR="00F05D44" w:rsidRPr="00F05D44" w:rsidTr="00A907B2">
        <w:trPr>
          <w:trHeight w:val="432"/>
        </w:trPr>
        <w:tc>
          <w:tcPr>
            <w:tcW w:w="990" w:type="dxa"/>
            <w:vMerge/>
            <w:vAlign w:val="center"/>
            <w:hideMark/>
          </w:tcPr>
          <w:p w:rsidR="001E3B5B" w:rsidRDefault="001E3B5B" w:rsidP="00340FC0">
            <w:pPr>
              <w:spacing w:after="0" w:line="240" w:lineRule="auto"/>
              <w:jc w:val="center"/>
              <w:rPr>
                <w:rFonts w:ascii="Arial" w:eastAsia="Times New Roman" w:hAnsi="Arial" w:cs="Arial"/>
                <w:color w:val="000000"/>
                <w:sz w:val="18"/>
                <w:szCs w:val="18"/>
              </w:rPr>
            </w:pPr>
          </w:p>
        </w:tc>
        <w:tc>
          <w:tcPr>
            <w:tcW w:w="1260" w:type="dxa"/>
            <w:shd w:val="clear" w:color="auto" w:fill="auto"/>
            <w:noWrap/>
            <w:vAlign w:val="center"/>
            <w:hideMark/>
          </w:tcPr>
          <w:p w:rsidR="00F05D44" w:rsidRPr="00F05D44" w:rsidRDefault="00F05D44" w:rsidP="00057782">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2016</w:t>
            </w:r>
            <w:r w:rsidR="00CA470C">
              <w:rPr>
                <w:rFonts w:ascii="Arial" w:eastAsia="Times New Roman" w:hAnsi="Arial" w:cs="Arial"/>
                <w:color w:val="000000"/>
                <w:sz w:val="18"/>
                <w:szCs w:val="18"/>
              </w:rPr>
              <w:t>–</w:t>
            </w:r>
            <w:r w:rsidRPr="00F05D44">
              <w:rPr>
                <w:rFonts w:ascii="Arial" w:eastAsia="Times New Roman" w:hAnsi="Arial" w:cs="Arial"/>
                <w:color w:val="000000"/>
                <w:sz w:val="18"/>
                <w:szCs w:val="18"/>
              </w:rPr>
              <w:t>2023</w:t>
            </w:r>
          </w:p>
        </w:tc>
        <w:tc>
          <w:tcPr>
            <w:tcW w:w="1211"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3,141</w:t>
            </w:r>
          </w:p>
        </w:tc>
        <w:tc>
          <w:tcPr>
            <w:tcW w:w="1210"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712.9</w:t>
            </w:r>
          </w:p>
        </w:tc>
        <w:tc>
          <w:tcPr>
            <w:tcW w:w="160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682.7</w:t>
            </w:r>
          </w:p>
        </w:tc>
        <w:tc>
          <w:tcPr>
            <w:tcW w:w="1151"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30.2</w:t>
            </w:r>
          </w:p>
        </w:tc>
        <w:tc>
          <w:tcPr>
            <w:tcW w:w="1194"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4.23%</w:t>
            </w:r>
          </w:p>
        </w:tc>
        <w:tc>
          <w:tcPr>
            <w:tcW w:w="111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95.5</w:t>
            </w:r>
          </w:p>
        </w:tc>
      </w:tr>
      <w:tr w:rsidR="00F05D44" w:rsidRPr="00F05D44" w:rsidTr="00A907B2">
        <w:trPr>
          <w:trHeight w:val="432"/>
        </w:trPr>
        <w:tc>
          <w:tcPr>
            <w:tcW w:w="990" w:type="dxa"/>
            <w:vMerge w:val="restart"/>
            <w:shd w:val="clear" w:color="auto" w:fill="auto"/>
            <w:vAlign w:val="center"/>
            <w:hideMark/>
          </w:tcPr>
          <w:p w:rsidR="00F05D44" w:rsidRPr="00F05D44" w:rsidRDefault="00F05D44" w:rsidP="00057782">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1-in-2 August System Peak Day</w:t>
            </w:r>
          </w:p>
        </w:tc>
        <w:tc>
          <w:tcPr>
            <w:tcW w:w="1260"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2012</w:t>
            </w:r>
          </w:p>
        </w:tc>
        <w:tc>
          <w:tcPr>
            <w:tcW w:w="1211"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3,046</w:t>
            </w:r>
          </w:p>
        </w:tc>
        <w:tc>
          <w:tcPr>
            <w:tcW w:w="1210"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677.5</w:t>
            </w:r>
          </w:p>
        </w:tc>
        <w:tc>
          <w:tcPr>
            <w:tcW w:w="160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646.5</w:t>
            </w:r>
          </w:p>
        </w:tc>
        <w:tc>
          <w:tcPr>
            <w:tcW w:w="1151"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31.0</w:t>
            </w:r>
          </w:p>
        </w:tc>
        <w:tc>
          <w:tcPr>
            <w:tcW w:w="1194"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4.58%</w:t>
            </w:r>
          </w:p>
        </w:tc>
        <w:tc>
          <w:tcPr>
            <w:tcW w:w="111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93.6</w:t>
            </w:r>
          </w:p>
        </w:tc>
      </w:tr>
      <w:tr w:rsidR="00F05D44" w:rsidRPr="00F05D44" w:rsidTr="00A907B2">
        <w:trPr>
          <w:trHeight w:val="432"/>
        </w:trPr>
        <w:tc>
          <w:tcPr>
            <w:tcW w:w="990" w:type="dxa"/>
            <w:vMerge/>
            <w:vAlign w:val="center"/>
            <w:hideMark/>
          </w:tcPr>
          <w:p w:rsidR="001E3B5B" w:rsidRDefault="001E3B5B" w:rsidP="00340FC0">
            <w:pPr>
              <w:spacing w:after="0" w:line="240" w:lineRule="auto"/>
              <w:jc w:val="center"/>
              <w:rPr>
                <w:rFonts w:ascii="Arial" w:eastAsia="Times New Roman" w:hAnsi="Arial" w:cs="Arial"/>
                <w:color w:val="000000"/>
                <w:sz w:val="18"/>
                <w:szCs w:val="18"/>
              </w:rPr>
            </w:pPr>
          </w:p>
        </w:tc>
        <w:tc>
          <w:tcPr>
            <w:tcW w:w="1260" w:type="dxa"/>
            <w:shd w:val="clear" w:color="auto" w:fill="auto"/>
            <w:noWrap/>
            <w:vAlign w:val="center"/>
            <w:hideMark/>
          </w:tcPr>
          <w:p w:rsidR="00F05D44" w:rsidRPr="00F05D44" w:rsidRDefault="00F05D44" w:rsidP="00057782">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2013</w:t>
            </w:r>
          </w:p>
        </w:tc>
        <w:tc>
          <w:tcPr>
            <w:tcW w:w="1211"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3,068</w:t>
            </w:r>
          </w:p>
        </w:tc>
        <w:tc>
          <w:tcPr>
            <w:tcW w:w="1210"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682.5</w:t>
            </w:r>
          </w:p>
        </w:tc>
        <w:tc>
          <w:tcPr>
            <w:tcW w:w="160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651.3</w:t>
            </w:r>
          </w:p>
        </w:tc>
        <w:tc>
          <w:tcPr>
            <w:tcW w:w="1151"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31.2</w:t>
            </w:r>
          </w:p>
        </w:tc>
        <w:tc>
          <w:tcPr>
            <w:tcW w:w="1194"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4.58%</w:t>
            </w:r>
          </w:p>
        </w:tc>
        <w:tc>
          <w:tcPr>
            <w:tcW w:w="111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93.6</w:t>
            </w:r>
          </w:p>
        </w:tc>
      </w:tr>
      <w:tr w:rsidR="00F05D44" w:rsidRPr="00F05D44" w:rsidTr="00A907B2">
        <w:trPr>
          <w:trHeight w:val="432"/>
        </w:trPr>
        <w:tc>
          <w:tcPr>
            <w:tcW w:w="990" w:type="dxa"/>
            <w:vMerge/>
            <w:vAlign w:val="center"/>
            <w:hideMark/>
          </w:tcPr>
          <w:p w:rsidR="001E3B5B" w:rsidRDefault="001E3B5B" w:rsidP="00340FC0">
            <w:pPr>
              <w:spacing w:after="0" w:line="240" w:lineRule="auto"/>
              <w:jc w:val="center"/>
              <w:rPr>
                <w:rFonts w:ascii="Arial" w:eastAsia="Times New Roman" w:hAnsi="Arial" w:cs="Arial"/>
                <w:color w:val="000000"/>
                <w:sz w:val="18"/>
                <w:szCs w:val="18"/>
              </w:rPr>
            </w:pPr>
          </w:p>
        </w:tc>
        <w:tc>
          <w:tcPr>
            <w:tcW w:w="1260" w:type="dxa"/>
            <w:shd w:val="clear" w:color="auto" w:fill="auto"/>
            <w:noWrap/>
            <w:vAlign w:val="center"/>
            <w:hideMark/>
          </w:tcPr>
          <w:p w:rsidR="00F05D44" w:rsidRPr="00F05D44" w:rsidRDefault="00F05D44" w:rsidP="00057782">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2014</w:t>
            </w:r>
          </w:p>
        </w:tc>
        <w:tc>
          <w:tcPr>
            <w:tcW w:w="1211"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3,099</w:t>
            </w:r>
          </w:p>
        </w:tc>
        <w:tc>
          <w:tcPr>
            <w:tcW w:w="1210"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689.3</w:t>
            </w:r>
          </w:p>
        </w:tc>
        <w:tc>
          <w:tcPr>
            <w:tcW w:w="160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657.8</w:t>
            </w:r>
          </w:p>
        </w:tc>
        <w:tc>
          <w:tcPr>
            <w:tcW w:w="1151"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31.5</w:t>
            </w:r>
          </w:p>
        </w:tc>
        <w:tc>
          <w:tcPr>
            <w:tcW w:w="1194"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4.58%</w:t>
            </w:r>
          </w:p>
        </w:tc>
        <w:tc>
          <w:tcPr>
            <w:tcW w:w="111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93.6</w:t>
            </w:r>
          </w:p>
        </w:tc>
      </w:tr>
      <w:tr w:rsidR="00F05D44" w:rsidRPr="00F05D44" w:rsidTr="00A907B2">
        <w:trPr>
          <w:trHeight w:val="432"/>
        </w:trPr>
        <w:tc>
          <w:tcPr>
            <w:tcW w:w="990" w:type="dxa"/>
            <w:vMerge/>
            <w:vAlign w:val="center"/>
            <w:hideMark/>
          </w:tcPr>
          <w:p w:rsidR="001E3B5B" w:rsidRDefault="001E3B5B" w:rsidP="00340FC0">
            <w:pPr>
              <w:spacing w:after="0" w:line="240" w:lineRule="auto"/>
              <w:jc w:val="center"/>
              <w:rPr>
                <w:rFonts w:ascii="Arial" w:eastAsia="Times New Roman" w:hAnsi="Arial" w:cs="Arial"/>
                <w:color w:val="000000"/>
                <w:sz w:val="18"/>
                <w:szCs w:val="18"/>
              </w:rPr>
            </w:pPr>
          </w:p>
        </w:tc>
        <w:tc>
          <w:tcPr>
            <w:tcW w:w="1260" w:type="dxa"/>
            <w:shd w:val="clear" w:color="auto" w:fill="auto"/>
            <w:noWrap/>
            <w:vAlign w:val="center"/>
            <w:hideMark/>
          </w:tcPr>
          <w:p w:rsidR="00F05D44" w:rsidRPr="00F05D44" w:rsidRDefault="00F05D44" w:rsidP="00057782">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2015</w:t>
            </w:r>
          </w:p>
        </w:tc>
        <w:tc>
          <w:tcPr>
            <w:tcW w:w="1211"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3,130</w:t>
            </w:r>
          </w:p>
        </w:tc>
        <w:tc>
          <w:tcPr>
            <w:tcW w:w="1210"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696.3</w:t>
            </w:r>
          </w:p>
        </w:tc>
        <w:tc>
          <w:tcPr>
            <w:tcW w:w="160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664.4</w:t>
            </w:r>
          </w:p>
        </w:tc>
        <w:tc>
          <w:tcPr>
            <w:tcW w:w="1151"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31.9</w:t>
            </w:r>
          </w:p>
        </w:tc>
        <w:tc>
          <w:tcPr>
            <w:tcW w:w="1194"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4.58%</w:t>
            </w:r>
          </w:p>
        </w:tc>
        <w:tc>
          <w:tcPr>
            <w:tcW w:w="111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93.6</w:t>
            </w:r>
          </w:p>
        </w:tc>
      </w:tr>
      <w:tr w:rsidR="00F05D44" w:rsidRPr="00F05D44" w:rsidTr="00A907B2">
        <w:trPr>
          <w:trHeight w:val="432"/>
        </w:trPr>
        <w:tc>
          <w:tcPr>
            <w:tcW w:w="990" w:type="dxa"/>
            <w:vMerge/>
            <w:vAlign w:val="center"/>
            <w:hideMark/>
          </w:tcPr>
          <w:p w:rsidR="001E3B5B" w:rsidRDefault="001E3B5B" w:rsidP="00340FC0">
            <w:pPr>
              <w:spacing w:after="0" w:line="240" w:lineRule="auto"/>
              <w:jc w:val="center"/>
              <w:rPr>
                <w:rFonts w:ascii="Arial" w:eastAsia="Times New Roman" w:hAnsi="Arial" w:cs="Arial"/>
                <w:color w:val="000000"/>
                <w:sz w:val="18"/>
                <w:szCs w:val="18"/>
              </w:rPr>
            </w:pPr>
          </w:p>
        </w:tc>
        <w:tc>
          <w:tcPr>
            <w:tcW w:w="1260" w:type="dxa"/>
            <w:shd w:val="clear" w:color="auto" w:fill="auto"/>
            <w:noWrap/>
            <w:vAlign w:val="center"/>
            <w:hideMark/>
          </w:tcPr>
          <w:p w:rsidR="00F05D44" w:rsidRPr="00F05D44" w:rsidRDefault="00F05D44" w:rsidP="00057782">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2016</w:t>
            </w:r>
            <w:r w:rsidR="00CA470C">
              <w:rPr>
                <w:rFonts w:ascii="Arial" w:eastAsia="Times New Roman" w:hAnsi="Arial" w:cs="Arial"/>
                <w:color w:val="000000"/>
                <w:sz w:val="18"/>
                <w:szCs w:val="18"/>
              </w:rPr>
              <w:t>–</w:t>
            </w:r>
            <w:r w:rsidRPr="00F05D44">
              <w:rPr>
                <w:rFonts w:ascii="Arial" w:eastAsia="Times New Roman" w:hAnsi="Arial" w:cs="Arial"/>
                <w:color w:val="000000"/>
                <w:sz w:val="18"/>
                <w:szCs w:val="18"/>
              </w:rPr>
              <w:t>2023</w:t>
            </w:r>
          </w:p>
        </w:tc>
        <w:tc>
          <w:tcPr>
            <w:tcW w:w="1211"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3,141</w:t>
            </w:r>
          </w:p>
        </w:tc>
        <w:tc>
          <w:tcPr>
            <w:tcW w:w="1210" w:type="dxa"/>
            <w:shd w:val="clear" w:color="auto" w:fill="auto"/>
            <w:noWrap/>
            <w:vAlign w:val="center"/>
            <w:hideMark/>
          </w:tcPr>
          <w:p w:rsidR="00F05D44" w:rsidRPr="00F05D44" w:rsidRDefault="00F05D44" w:rsidP="002B5AC6">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698.6</w:t>
            </w:r>
          </w:p>
        </w:tc>
        <w:tc>
          <w:tcPr>
            <w:tcW w:w="160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666.6</w:t>
            </w:r>
          </w:p>
        </w:tc>
        <w:tc>
          <w:tcPr>
            <w:tcW w:w="1151"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32.0</w:t>
            </w:r>
          </w:p>
        </w:tc>
        <w:tc>
          <w:tcPr>
            <w:tcW w:w="1194"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4.58%</w:t>
            </w:r>
          </w:p>
        </w:tc>
        <w:tc>
          <w:tcPr>
            <w:tcW w:w="1116" w:type="dxa"/>
            <w:shd w:val="clear" w:color="auto" w:fill="auto"/>
            <w:noWrap/>
            <w:vAlign w:val="center"/>
            <w:hideMark/>
          </w:tcPr>
          <w:p w:rsidR="001E3B5B" w:rsidRDefault="00F05D44">
            <w:pPr>
              <w:spacing w:after="0" w:line="240" w:lineRule="auto"/>
              <w:jc w:val="center"/>
              <w:rPr>
                <w:rFonts w:ascii="Arial" w:eastAsia="Times New Roman" w:hAnsi="Arial" w:cs="Arial"/>
                <w:color w:val="000000"/>
                <w:sz w:val="18"/>
                <w:szCs w:val="18"/>
              </w:rPr>
            </w:pPr>
            <w:r w:rsidRPr="00F05D44">
              <w:rPr>
                <w:rFonts w:ascii="Arial" w:eastAsia="Times New Roman" w:hAnsi="Arial" w:cs="Arial"/>
                <w:color w:val="000000"/>
                <w:sz w:val="18"/>
                <w:szCs w:val="18"/>
              </w:rPr>
              <w:t>93.6</w:t>
            </w:r>
          </w:p>
        </w:tc>
      </w:tr>
    </w:tbl>
    <w:p w:rsidR="00F21899" w:rsidRDefault="00BD46A5" w:rsidP="00E640AA">
      <w:pPr>
        <w:pStyle w:val="BodyParaAfterTableFigure"/>
      </w:pPr>
      <w:r>
        <w:t xml:space="preserve">In 2013, the average aggregate load impact during an August event for the 1-in-2 weather year scenario is estimated to be 31.0 MW.  Under SCE’s current enrollment projections, the load reduction capabilities of the CPP program is not expected to grow. </w:t>
      </w:r>
      <w:r w:rsidR="00497509">
        <w:t xml:space="preserve"> </w:t>
      </w:r>
      <w:r>
        <w:t>Changes to the population of SCE customers eligible to default to CPP would significantly change this outlook.</w:t>
      </w:r>
    </w:p>
    <w:p w:rsidR="00BD46A5" w:rsidRDefault="00BD46A5" w:rsidP="00FB0DDB">
      <w:pPr>
        <w:pStyle w:val="BodyParagraph"/>
      </w:pPr>
      <w:r>
        <w:t>Depending on the forecast year and weather conditions, CPP customers are expected to reduce between 4.2% and 4.6% of demand unde</w:t>
      </w:r>
      <w:r w:rsidR="00057782">
        <w:t>r</w:t>
      </w:r>
      <w:r>
        <w:t xml:space="preserve"> peaking conditions. </w:t>
      </w:r>
      <w:r w:rsidR="00497509">
        <w:t xml:space="preserve"> </w:t>
      </w:r>
      <w:r>
        <w:t>Recall that these estimates reflect low</w:t>
      </w:r>
      <w:r w:rsidR="00497509">
        <w:noBreakHyphen/>
      </w:r>
      <w:r>
        <w:t>performing SMB customers who opt in to the CPP rate.</w:t>
      </w:r>
    </w:p>
    <w:p w:rsidR="007E42FD" w:rsidRDefault="007E42FD" w:rsidP="00A907B2">
      <w:pPr>
        <w:pStyle w:val="BodyParagraph"/>
        <w:rPr>
          <w:rFonts w:ascii="Calibri" w:eastAsia="Times New Roman" w:hAnsi="Calibri" w:cs="Times New Roman"/>
          <w:color w:val="000000"/>
        </w:rPr>
      </w:pPr>
      <w:r w:rsidRPr="0002718D">
        <w:t>The portfolio</w:t>
      </w:r>
      <w:r>
        <w:t>-</w:t>
      </w:r>
      <w:r w:rsidRPr="0002718D">
        <w:t xml:space="preserve">adjusted load impacts exclude customers dually enrolled in BIP or aggregator programs, which are among the most responsive participants.  Figure </w:t>
      </w:r>
      <w:r>
        <w:t>8</w:t>
      </w:r>
      <w:r w:rsidRPr="0002718D">
        <w:t>-</w:t>
      </w:r>
      <w:r w:rsidR="00E640AA">
        <w:t>1</w:t>
      </w:r>
      <w:r w:rsidRPr="0002718D">
        <w:t xml:space="preserve"> illustrates the effect of removing dually enrolled customers.  The comparison is made with participants enrolled at the end of summer 2012.  The portfolio</w:t>
      </w:r>
      <w:r>
        <w:t>-</w:t>
      </w:r>
      <w:r w:rsidRPr="0002718D">
        <w:t>adjusted demand reductions are 2 to 3 percentage points lower than the program specific results.  For 1-in-2 weather year conditions, the program</w:t>
      </w:r>
      <w:r>
        <w:t>-specific reductions are 4.6</w:t>
      </w:r>
      <w:r w:rsidRPr="0002718D">
        <w:t>% while</w:t>
      </w:r>
      <w:r w:rsidR="00497509">
        <w:t> </w:t>
      </w:r>
      <w:r w:rsidRPr="0002718D">
        <w:t>the portfolio</w:t>
      </w:r>
      <w:r>
        <w:t>-adjusted reduction is 2.8</w:t>
      </w:r>
      <w:r w:rsidRPr="0002718D">
        <w:t xml:space="preserve">% for the August monthly peak. </w:t>
      </w:r>
    </w:p>
    <w:p w:rsidR="007E42FD" w:rsidRDefault="007E42FD" w:rsidP="007E42FD">
      <w:pPr>
        <w:pStyle w:val="TableFigureCaption"/>
      </w:pPr>
      <w:r>
        <w:lastRenderedPageBreak/>
        <w:t>Figure 8-</w:t>
      </w:r>
      <w:r w:rsidR="00E640AA">
        <w:t>1</w:t>
      </w:r>
      <w:r>
        <w:t>:</w:t>
      </w:r>
      <w:r w:rsidR="00626371">
        <w:t xml:space="preserve"> </w:t>
      </w:r>
      <w:r>
        <w:t>Comparison of Portfolio-adjusted to Program-specific Ex Ante Load Impacts</w:t>
      </w:r>
      <w:r w:rsidR="00626371">
        <w:br/>
      </w:r>
      <w:r>
        <w:t>May to October Monthly Peaks for Current Participants</w:t>
      </w:r>
    </w:p>
    <w:p w:rsidR="007E42FD" w:rsidRDefault="00511412" w:rsidP="007E42FD">
      <w:pPr>
        <w:pStyle w:val="BodyParagraph"/>
        <w:jc w:val="center"/>
      </w:pPr>
      <w:r>
        <w:rPr>
          <w:noProof/>
        </w:rPr>
        <w:drawing>
          <wp:inline distT="0" distB="0" distL="0" distR="0" wp14:anchorId="25061831" wp14:editId="75DAC36C">
            <wp:extent cx="5943600" cy="3238263"/>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3600" cy="3238263"/>
                    </a:xfrm>
                    <a:prstGeom prst="rect">
                      <a:avLst/>
                    </a:prstGeom>
                    <a:noFill/>
                    <a:ln>
                      <a:noFill/>
                    </a:ln>
                  </pic:spPr>
                </pic:pic>
              </a:graphicData>
            </a:graphic>
          </wp:inline>
        </w:drawing>
      </w:r>
    </w:p>
    <w:p w:rsidR="00FB0DDB" w:rsidRDefault="00FB0DDB" w:rsidP="00FB0DDB">
      <w:pPr>
        <w:pStyle w:val="Heading2"/>
        <w:spacing w:before="360"/>
        <w:ind w:left="547" w:hanging="547"/>
      </w:pPr>
      <w:bookmarkStart w:id="202" w:name="_Toc289178039"/>
      <w:bookmarkStart w:id="203" w:name="_Toc326072139"/>
      <w:bookmarkStart w:id="204" w:name="_Toc352323663"/>
      <w:r>
        <w:t>Ex Ante Load Impact Uncertainty</w:t>
      </w:r>
      <w:bookmarkEnd w:id="202"/>
      <w:bookmarkEnd w:id="203"/>
      <w:bookmarkEnd w:id="204"/>
      <w:r>
        <w:t xml:space="preserve"> </w:t>
      </w:r>
    </w:p>
    <w:p w:rsidR="00E932CF" w:rsidRDefault="00E932CF" w:rsidP="00E932CF">
      <w:pPr>
        <w:pStyle w:val="BodyParagraph"/>
      </w:pPr>
      <w:r>
        <w:t>Table 8-3 summarizes the statistical uncertainty in the ex ante annual system peak load impact estimates for CPP customers.</w:t>
      </w:r>
      <w:r w:rsidRPr="00862A0E">
        <w:t xml:space="preserve"> </w:t>
      </w:r>
      <w:r>
        <w:t xml:space="preserve"> The ex ante impacts do not reflect uncertainty in enrollment.</w:t>
      </w:r>
      <w:r w:rsidRPr="00862A0E">
        <w:t xml:space="preserve"> </w:t>
      </w:r>
      <w:r>
        <w:t xml:space="preserve"> </w:t>
      </w:r>
      <w:r w:rsidRPr="00BE286E">
        <w:t>A</w:t>
      </w:r>
      <w:r>
        <w:t>t first glance</w:t>
      </w:r>
      <w:r w:rsidRPr="00BE286E">
        <w:t>, the uncertainty</w:t>
      </w:r>
      <w:r>
        <w:t xml:space="preserve"> appears large.  For example, in 2013</w:t>
      </w:r>
      <w:r w:rsidRPr="00BE286E">
        <w:t>, the</w:t>
      </w:r>
      <w:r>
        <w:t xml:space="preserve"> projected load impacts for 1-in-2 weather conditions are </w:t>
      </w:r>
      <w:r w:rsidR="00637340">
        <w:t>31.2</w:t>
      </w:r>
      <w:r>
        <w:t xml:space="preserve"> ±</w:t>
      </w:r>
      <w:r w:rsidR="00637340">
        <w:t>9.2</w:t>
      </w:r>
      <w:r>
        <w:t xml:space="preserve"> MW, with</w:t>
      </w:r>
      <w:r w:rsidRPr="00BE286E">
        <w:t xml:space="preserve"> 80% confidence.  </w:t>
      </w:r>
      <w:r>
        <w:t>The uncertainty reflects both the challenge of accurately estimating small percentage demand reductions and the variability in performance observed across events.</w:t>
      </w:r>
    </w:p>
    <w:p w:rsidR="00B30455" w:rsidRDefault="00B30455">
      <w:pPr>
        <w:rPr>
          <w:rFonts w:ascii="Verdana" w:hAnsi="Verdana"/>
          <w:sz w:val="18"/>
        </w:rPr>
      </w:pPr>
      <w:r>
        <w:br w:type="page"/>
      </w:r>
    </w:p>
    <w:p w:rsidR="00FB0DDB" w:rsidRDefault="00FB0DDB" w:rsidP="00DE5297">
      <w:pPr>
        <w:pStyle w:val="TableFigureCaption"/>
        <w:rPr>
          <w:rFonts w:cs="Calibri"/>
          <w:b w:val="0"/>
        </w:rPr>
      </w:pPr>
      <w:r>
        <w:lastRenderedPageBreak/>
        <w:t>Table 8-3:</w:t>
      </w:r>
      <w:r w:rsidR="00626371">
        <w:t xml:space="preserve"> </w:t>
      </w:r>
      <w:r w:rsidR="00DE5297">
        <w:t xml:space="preserve">SCE </w:t>
      </w:r>
      <w:r>
        <w:t>P</w:t>
      </w:r>
      <w:r w:rsidR="00DE5297">
        <w:t>rogram</w:t>
      </w:r>
      <w:r>
        <w:t xml:space="preserve"> Ex </w:t>
      </w:r>
      <w:r w:rsidRPr="009B536E">
        <w:t xml:space="preserve">Ante Annual System Peak Day Load Impacts with Uncertainty </w:t>
      </w:r>
      <w:r w:rsidRPr="009B536E">
        <w:br/>
        <w:t>(Hourly A</w:t>
      </w:r>
      <w:r>
        <w:t>verage Reduction in MW Over the Event Day Window 1</w:t>
      </w:r>
      <w:r w:rsidR="00CA470C">
        <w:t>–</w:t>
      </w:r>
      <w:r w:rsidRPr="009B536E">
        <w:t xml:space="preserve">6 </w:t>
      </w:r>
      <w:r>
        <w:t>PM</w:t>
      </w:r>
      <w:r w:rsidRPr="009B536E">
        <w:t>)</w:t>
      </w:r>
      <w:r w:rsidR="00DE5297">
        <w:rPr>
          <w:rFonts w:cs="Calibri"/>
          <w:b w:val="0"/>
        </w:rPr>
        <w:t xml:space="preserve"> </w:t>
      </w:r>
    </w:p>
    <w:tbl>
      <w:tblPr>
        <w:tblW w:w="8223" w:type="dxa"/>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163"/>
        <w:gridCol w:w="1180"/>
        <w:gridCol w:w="960"/>
        <w:gridCol w:w="960"/>
        <w:gridCol w:w="960"/>
        <w:gridCol w:w="960"/>
        <w:gridCol w:w="960"/>
      </w:tblGrid>
      <w:tr w:rsidR="00E640AA" w:rsidRPr="00637340" w:rsidTr="00E640AA">
        <w:trPr>
          <w:trHeight w:val="1035"/>
          <w:jc w:val="center"/>
        </w:trPr>
        <w:tc>
          <w:tcPr>
            <w:tcW w:w="1080" w:type="dxa"/>
            <w:vMerge w:val="restart"/>
            <w:tcBorders>
              <w:right w:val="single" w:sz="4" w:space="0" w:color="FFFFFF" w:themeColor="background1"/>
            </w:tcBorders>
            <w:shd w:val="clear" w:color="000000" w:fill="1F497D"/>
            <w:vAlign w:val="center"/>
            <w:hideMark/>
          </w:tcPr>
          <w:p w:rsidR="00E640AA" w:rsidRPr="00637340" w:rsidRDefault="00E640AA" w:rsidP="00637340">
            <w:pPr>
              <w:spacing w:after="0" w:line="240" w:lineRule="auto"/>
              <w:jc w:val="center"/>
              <w:rPr>
                <w:rFonts w:ascii="Arial" w:eastAsia="Times New Roman" w:hAnsi="Arial" w:cs="Arial"/>
                <w:b/>
                <w:bCs/>
                <w:color w:val="FFFFFF"/>
                <w:sz w:val="20"/>
                <w:szCs w:val="20"/>
              </w:rPr>
            </w:pPr>
            <w:r w:rsidRPr="00637340">
              <w:rPr>
                <w:rFonts w:ascii="Arial" w:eastAsia="Times New Roman" w:hAnsi="Arial" w:cs="Arial"/>
                <w:b/>
                <w:bCs/>
                <w:color w:val="FFFFFF"/>
                <w:sz w:val="20"/>
                <w:szCs w:val="20"/>
              </w:rPr>
              <w:t>Weather Year</w:t>
            </w:r>
          </w:p>
        </w:tc>
        <w:tc>
          <w:tcPr>
            <w:tcW w:w="1163" w:type="dxa"/>
            <w:vMerge w:val="restart"/>
            <w:tcBorders>
              <w:left w:val="single" w:sz="4" w:space="0" w:color="FFFFFF" w:themeColor="background1"/>
              <w:right w:val="single" w:sz="4" w:space="0" w:color="FFFFFF" w:themeColor="background1"/>
            </w:tcBorders>
            <w:shd w:val="clear" w:color="000000" w:fill="1F497D"/>
            <w:vAlign w:val="center"/>
            <w:hideMark/>
          </w:tcPr>
          <w:p w:rsidR="00E640AA" w:rsidRPr="00637340" w:rsidRDefault="00E640AA" w:rsidP="00637340">
            <w:pPr>
              <w:spacing w:after="0" w:line="240" w:lineRule="auto"/>
              <w:jc w:val="center"/>
              <w:rPr>
                <w:rFonts w:ascii="Arial" w:eastAsia="Times New Roman" w:hAnsi="Arial" w:cs="Arial"/>
                <w:b/>
                <w:bCs/>
                <w:color w:val="FFFFFF"/>
                <w:sz w:val="20"/>
                <w:szCs w:val="20"/>
              </w:rPr>
            </w:pPr>
            <w:r w:rsidRPr="00637340">
              <w:rPr>
                <w:rFonts w:ascii="Arial" w:eastAsia="Times New Roman" w:hAnsi="Arial" w:cs="Arial"/>
                <w:b/>
                <w:bCs/>
                <w:color w:val="FFFFFF"/>
                <w:sz w:val="20"/>
                <w:szCs w:val="20"/>
              </w:rPr>
              <w:t>Year</w:t>
            </w:r>
          </w:p>
        </w:tc>
        <w:tc>
          <w:tcPr>
            <w:tcW w:w="1180" w:type="dxa"/>
            <w:tcBorders>
              <w:left w:val="single" w:sz="4" w:space="0" w:color="FFFFFF" w:themeColor="background1"/>
              <w:bottom w:val="single" w:sz="4" w:space="0" w:color="FFFFFF" w:themeColor="background1"/>
              <w:right w:val="single" w:sz="4" w:space="0" w:color="FFFFFF" w:themeColor="background1"/>
            </w:tcBorders>
            <w:shd w:val="clear" w:color="000000" w:fill="1F497D"/>
            <w:vAlign w:val="center"/>
            <w:hideMark/>
          </w:tcPr>
          <w:p w:rsidR="00E640AA" w:rsidRPr="00637340" w:rsidRDefault="00E640AA" w:rsidP="007E27F3">
            <w:pPr>
              <w:spacing w:after="0" w:line="240" w:lineRule="auto"/>
              <w:jc w:val="center"/>
              <w:rPr>
                <w:rFonts w:ascii="Arial" w:eastAsia="Times New Roman" w:hAnsi="Arial" w:cs="Arial"/>
                <w:b/>
                <w:bCs/>
                <w:color w:val="FFFFFF"/>
                <w:sz w:val="20"/>
                <w:szCs w:val="20"/>
              </w:rPr>
            </w:pPr>
            <w:r w:rsidRPr="00637340">
              <w:rPr>
                <w:rFonts w:ascii="Arial" w:eastAsia="Times New Roman" w:hAnsi="Arial" w:cs="Arial"/>
                <w:b/>
                <w:bCs/>
                <w:color w:val="FFFFFF"/>
                <w:sz w:val="20"/>
                <w:szCs w:val="20"/>
              </w:rPr>
              <w:t xml:space="preserve">Expected Avg. Load Impact </w:t>
            </w:r>
          </w:p>
        </w:tc>
        <w:tc>
          <w:tcPr>
            <w:tcW w:w="4800" w:type="dxa"/>
            <w:gridSpan w:val="5"/>
            <w:tcBorders>
              <w:left w:val="single" w:sz="4" w:space="0" w:color="FFFFFF" w:themeColor="background1"/>
              <w:bottom w:val="single" w:sz="4" w:space="0" w:color="FFFFFF" w:themeColor="background1"/>
            </w:tcBorders>
            <w:shd w:val="clear" w:color="000000" w:fill="1F497D"/>
            <w:vAlign w:val="center"/>
            <w:hideMark/>
          </w:tcPr>
          <w:p w:rsidR="00E640AA" w:rsidRPr="00637340" w:rsidRDefault="00E640AA" w:rsidP="00637340">
            <w:pPr>
              <w:spacing w:after="0" w:line="240" w:lineRule="auto"/>
              <w:jc w:val="center"/>
              <w:rPr>
                <w:rFonts w:ascii="Arial" w:eastAsia="Times New Roman" w:hAnsi="Arial" w:cs="Arial"/>
                <w:b/>
                <w:bCs/>
                <w:color w:val="FFFFFF"/>
                <w:sz w:val="20"/>
                <w:szCs w:val="20"/>
              </w:rPr>
            </w:pPr>
            <w:r w:rsidRPr="00637340">
              <w:rPr>
                <w:rFonts w:ascii="Arial" w:eastAsia="Times New Roman" w:hAnsi="Arial" w:cs="Arial"/>
                <w:b/>
                <w:bCs/>
                <w:color w:val="FFFFFF"/>
                <w:sz w:val="20"/>
                <w:szCs w:val="20"/>
              </w:rPr>
              <w:t>Impact Uncertainty (Percentiles)</w:t>
            </w:r>
          </w:p>
        </w:tc>
      </w:tr>
      <w:tr w:rsidR="00E640AA" w:rsidRPr="00637340" w:rsidTr="00E640AA">
        <w:trPr>
          <w:trHeight w:val="345"/>
          <w:jc w:val="center"/>
        </w:trPr>
        <w:tc>
          <w:tcPr>
            <w:tcW w:w="1080" w:type="dxa"/>
            <w:vMerge/>
            <w:tcBorders>
              <w:right w:val="single" w:sz="4" w:space="0" w:color="FFFFFF" w:themeColor="background1"/>
            </w:tcBorders>
            <w:shd w:val="clear" w:color="000000" w:fill="1F497D"/>
            <w:vAlign w:val="center"/>
            <w:hideMark/>
          </w:tcPr>
          <w:p w:rsidR="00E640AA" w:rsidRPr="00637340" w:rsidRDefault="00E640AA" w:rsidP="00637340">
            <w:pPr>
              <w:spacing w:after="0" w:line="240" w:lineRule="auto"/>
              <w:jc w:val="center"/>
              <w:rPr>
                <w:rFonts w:ascii="Arial" w:eastAsia="Times New Roman" w:hAnsi="Arial" w:cs="Arial"/>
                <w:b/>
                <w:bCs/>
                <w:color w:val="FFFFFF"/>
                <w:sz w:val="20"/>
                <w:szCs w:val="20"/>
              </w:rPr>
            </w:pPr>
          </w:p>
        </w:tc>
        <w:tc>
          <w:tcPr>
            <w:tcW w:w="1163" w:type="dxa"/>
            <w:vMerge/>
            <w:tcBorders>
              <w:left w:val="single" w:sz="4" w:space="0" w:color="FFFFFF" w:themeColor="background1"/>
              <w:right w:val="single" w:sz="4" w:space="0" w:color="FFFFFF" w:themeColor="background1"/>
            </w:tcBorders>
            <w:shd w:val="clear" w:color="000000" w:fill="1F497D"/>
            <w:vAlign w:val="center"/>
            <w:hideMark/>
          </w:tcPr>
          <w:p w:rsidR="00E640AA" w:rsidRPr="00637340" w:rsidRDefault="00E640AA" w:rsidP="00637340">
            <w:pPr>
              <w:spacing w:after="0" w:line="240" w:lineRule="auto"/>
              <w:jc w:val="center"/>
              <w:rPr>
                <w:rFonts w:ascii="Arial" w:eastAsia="Times New Roman" w:hAnsi="Arial" w:cs="Arial"/>
                <w:b/>
                <w:bCs/>
                <w:color w:val="FFFFFF"/>
                <w:sz w:val="20"/>
                <w:szCs w:val="20"/>
              </w:rPr>
            </w:pPr>
          </w:p>
        </w:tc>
        <w:tc>
          <w:tcPr>
            <w:tcW w:w="118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E640AA" w:rsidRPr="00637340" w:rsidRDefault="007E27F3" w:rsidP="007E27F3">
            <w:pPr>
              <w:spacing w:after="0" w:line="240" w:lineRule="auto"/>
              <w:jc w:val="center"/>
              <w:rPr>
                <w:rFonts w:ascii="Arial" w:eastAsia="Times New Roman" w:hAnsi="Arial" w:cs="Arial"/>
                <w:b/>
                <w:bCs/>
                <w:color w:val="FFFFFF"/>
                <w:sz w:val="20"/>
                <w:szCs w:val="20"/>
              </w:rPr>
            </w:pPr>
            <w:r w:rsidRPr="00637340">
              <w:rPr>
                <w:rFonts w:ascii="Arial" w:eastAsia="Times New Roman" w:hAnsi="Arial" w:cs="Arial"/>
                <w:b/>
                <w:bCs/>
                <w:color w:val="FFFFFF"/>
                <w:sz w:val="20"/>
                <w:szCs w:val="20"/>
              </w:rPr>
              <w:t>MW</w:t>
            </w:r>
            <w:r>
              <w:rPr>
                <w:rFonts w:ascii="Arial" w:eastAsia="Times New Roman" w:hAnsi="Arial" w:cs="Arial"/>
                <w:b/>
                <w:bCs/>
                <w:color w:val="FFFFFF"/>
                <w:sz w:val="20"/>
                <w:szCs w:val="20"/>
              </w:rPr>
              <w:br/>
            </w:r>
            <w:r w:rsidR="00E640AA" w:rsidRPr="00637340">
              <w:rPr>
                <w:rFonts w:ascii="Arial" w:eastAsia="Times New Roman" w:hAnsi="Arial" w:cs="Arial"/>
                <w:b/>
                <w:bCs/>
                <w:color w:val="FFFFFF"/>
                <w:sz w:val="20"/>
                <w:szCs w:val="20"/>
              </w:rPr>
              <w:t>1</w:t>
            </w:r>
            <w:r w:rsidR="00CA470C">
              <w:rPr>
                <w:rFonts w:ascii="Arial" w:eastAsia="Times New Roman" w:hAnsi="Arial" w:cs="Arial"/>
                <w:b/>
                <w:bCs/>
                <w:color w:val="FFFFFF"/>
                <w:sz w:val="20"/>
                <w:szCs w:val="20"/>
              </w:rPr>
              <w:t>–</w:t>
            </w:r>
            <w:r w:rsidR="00E640AA" w:rsidRPr="00637340">
              <w:rPr>
                <w:rFonts w:ascii="Arial" w:eastAsia="Times New Roman" w:hAnsi="Arial" w:cs="Arial"/>
                <w:b/>
                <w:bCs/>
                <w:color w:val="FFFFFF"/>
                <w:sz w:val="20"/>
                <w:szCs w:val="20"/>
              </w:rPr>
              <w:t>6 PM</w:t>
            </w:r>
          </w:p>
        </w:tc>
        <w:tc>
          <w:tcPr>
            <w:tcW w:w="96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E640AA" w:rsidRPr="00637340" w:rsidRDefault="00E640AA" w:rsidP="00637340">
            <w:pPr>
              <w:spacing w:after="0" w:line="240" w:lineRule="auto"/>
              <w:jc w:val="center"/>
              <w:rPr>
                <w:rFonts w:ascii="Arial" w:eastAsia="Times New Roman" w:hAnsi="Arial" w:cs="Arial"/>
                <w:b/>
                <w:bCs/>
                <w:color w:val="FFFFFF"/>
                <w:sz w:val="20"/>
                <w:szCs w:val="20"/>
              </w:rPr>
            </w:pPr>
            <w:r w:rsidRPr="00637340">
              <w:rPr>
                <w:rFonts w:ascii="Arial" w:eastAsia="Times New Roman" w:hAnsi="Arial" w:cs="Arial"/>
                <w:b/>
                <w:bCs/>
                <w:color w:val="FFFFFF"/>
                <w:sz w:val="20"/>
                <w:szCs w:val="20"/>
              </w:rPr>
              <w:t>10</w:t>
            </w:r>
            <w:r w:rsidRPr="00637340">
              <w:rPr>
                <w:rFonts w:ascii="Arial" w:eastAsia="Times New Roman" w:hAnsi="Arial" w:cs="Arial"/>
                <w:b/>
                <w:bCs/>
                <w:color w:val="FFFFFF"/>
                <w:vertAlign w:val="superscript"/>
              </w:rPr>
              <w:t>th</w:t>
            </w:r>
          </w:p>
        </w:tc>
        <w:tc>
          <w:tcPr>
            <w:tcW w:w="96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E640AA" w:rsidRPr="00637340" w:rsidRDefault="00E640AA" w:rsidP="00637340">
            <w:pPr>
              <w:spacing w:after="0" w:line="240" w:lineRule="auto"/>
              <w:jc w:val="center"/>
              <w:rPr>
                <w:rFonts w:ascii="Arial" w:eastAsia="Times New Roman" w:hAnsi="Arial" w:cs="Arial"/>
                <w:b/>
                <w:bCs/>
                <w:color w:val="FFFFFF"/>
                <w:sz w:val="20"/>
                <w:szCs w:val="20"/>
              </w:rPr>
            </w:pPr>
            <w:r w:rsidRPr="00637340">
              <w:rPr>
                <w:rFonts w:ascii="Arial" w:eastAsia="Times New Roman" w:hAnsi="Arial" w:cs="Arial"/>
                <w:b/>
                <w:bCs/>
                <w:color w:val="FFFFFF"/>
                <w:sz w:val="20"/>
                <w:szCs w:val="20"/>
              </w:rPr>
              <w:t>30</w:t>
            </w:r>
            <w:r w:rsidRPr="00637340">
              <w:rPr>
                <w:rFonts w:ascii="Arial" w:eastAsia="Times New Roman" w:hAnsi="Arial" w:cs="Arial"/>
                <w:b/>
                <w:bCs/>
                <w:color w:val="FFFFFF"/>
                <w:vertAlign w:val="superscript"/>
              </w:rPr>
              <w:t>th</w:t>
            </w:r>
          </w:p>
        </w:tc>
        <w:tc>
          <w:tcPr>
            <w:tcW w:w="96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E640AA" w:rsidRPr="00637340" w:rsidRDefault="00E640AA" w:rsidP="00637340">
            <w:pPr>
              <w:spacing w:after="0" w:line="240" w:lineRule="auto"/>
              <w:jc w:val="center"/>
              <w:rPr>
                <w:rFonts w:ascii="Arial" w:eastAsia="Times New Roman" w:hAnsi="Arial" w:cs="Arial"/>
                <w:b/>
                <w:bCs/>
                <w:color w:val="FFFFFF"/>
                <w:sz w:val="20"/>
                <w:szCs w:val="20"/>
              </w:rPr>
            </w:pPr>
            <w:r w:rsidRPr="00637340">
              <w:rPr>
                <w:rFonts w:ascii="Arial" w:eastAsia="Times New Roman" w:hAnsi="Arial" w:cs="Arial"/>
                <w:b/>
                <w:bCs/>
                <w:color w:val="FFFFFF"/>
                <w:sz w:val="20"/>
                <w:szCs w:val="20"/>
              </w:rPr>
              <w:t>50</w:t>
            </w:r>
            <w:r w:rsidRPr="00637340">
              <w:rPr>
                <w:rFonts w:ascii="Arial" w:eastAsia="Times New Roman" w:hAnsi="Arial" w:cs="Arial"/>
                <w:b/>
                <w:bCs/>
                <w:color w:val="FFFFFF"/>
                <w:vertAlign w:val="superscript"/>
              </w:rPr>
              <w:t>th</w:t>
            </w:r>
          </w:p>
        </w:tc>
        <w:tc>
          <w:tcPr>
            <w:tcW w:w="96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E640AA" w:rsidRPr="00637340" w:rsidRDefault="00E640AA" w:rsidP="00637340">
            <w:pPr>
              <w:spacing w:after="0" w:line="240" w:lineRule="auto"/>
              <w:jc w:val="center"/>
              <w:rPr>
                <w:rFonts w:ascii="Arial" w:eastAsia="Times New Roman" w:hAnsi="Arial" w:cs="Arial"/>
                <w:b/>
                <w:bCs/>
                <w:color w:val="FFFFFF"/>
                <w:sz w:val="20"/>
                <w:szCs w:val="20"/>
              </w:rPr>
            </w:pPr>
            <w:r w:rsidRPr="00637340">
              <w:rPr>
                <w:rFonts w:ascii="Arial" w:eastAsia="Times New Roman" w:hAnsi="Arial" w:cs="Arial"/>
                <w:b/>
                <w:bCs/>
                <w:color w:val="FFFFFF"/>
                <w:sz w:val="20"/>
                <w:szCs w:val="20"/>
              </w:rPr>
              <w:t>70</w:t>
            </w:r>
            <w:r w:rsidRPr="00637340">
              <w:rPr>
                <w:rFonts w:ascii="Arial" w:eastAsia="Times New Roman" w:hAnsi="Arial" w:cs="Arial"/>
                <w:b/>
                <w:bCs/>
                <w:color w:val="FFFFFF"/>
                <w:vertAlign w:val="superscript"/>
              </w:rPr>
              <w:t>th</w:t>
            </w:r>
          </w:p>
        </w:tc>
        <w:tc>
          <w:tcPr>
            <w:tcW w:w="960" w:type="dxa"/>
            <w:tcBorders>
              <w:top w:val="single" w:sz="4" w:space="0" w:color="FFFFFF" w:themeColor="background1"/>
              <w:left w:val="single" w:sz="4" w:space="0" w:color="FFFFFF" w:themeColor="background1"/>
            </w:tcBorders>
            <w:shd w:val="clear" w:color="000000" w:fill="1F497D"/>
            <w:vAlign w:val="center"/>
            <w:hideMark/>
          </w:tcPr>
          <w:p w:rsidR="00E640AA" w:rsidRPr="00637340" w:rsidRDefault="00E640AA" w:rsidP="00637340">
            <w:pPr>
              <w:spacing w:after="0" w:line="240" w:lineRule="auto"/>
              <w:jc w:val="center"/>
              <w:rPr>
                <w:rFonts w:ascii="Arial" w:eastAsia="Times New Roman" w:hAnsi="Arial" w:cs="Arial"/>
                <w:b/>
                <w:bCs/>
                <w:color w:val="FFFFFF"/>
                <w:sz w:val="20"/>
                <w:szCs w:val="20"/>
              </w:rPr>
            </w:pPr>
            <w:r w:rsidRPr="00637340">
              <w:rPr>
                <w:rFonts w:ascii="Arial" w:eastAsia="Times New Roman" w:hAnsi="Arial" w:cs="Arial"/>
                <w:b/>
                <w:bCs/>
                <w:color w:val="FFFFFF"/>
                <w:sz w:val="20"/>
                <w:szCs w:val="20"/>
              </w:rPr>
              <w:t>90</w:t>
            </w:r>
            <w:r w:rsidRPr="00637340">
              <w:rPr>
                <w:rFonts w:ascii="Arial" w:eastAsia="Times New Roman" w:hAnsi="Arial" w:cs="Arial"/>
                <w:b/>
                <w:bCs/>
                <w:color w:val="FFFFFF"/>
                <w:vertAlign w:val="superscript"/>
              </w:rPr>
              <w:t>th</w:t>
            </w:r>
          </w:p>
        </w:tc>
      </w:tr>
      <w:tr w:rsidR="00637340" w:rsidRPr="00637340" w:rsidTr="00E640AA">
        <w:trPr>
          <w:trHeight w:val="300"/>
          <w:jc w:val="center"/>
        </w:trPr>
        <w:tc>
          <w:tcPr>
            <w:tcW w:w="1080" w:type="dxa"/>
            <w:vMerge w:val="restart"/>
            <w:shd w:val="clear" w:color="auto" w:fill="auto"/>
            <w:vAlign w:val="center"/>
            <w:hideMark/>
          </w:tcPr>
          <w:p w:rsidR="00637340" w:rsidRPr="00637340" w:rsidRDefault="00637340" w:rsidP="00A907B2">
            <w:pPr>
              <w:pStyle w:val="TableText"/>
            </w:pPr>
            <w:r w:rsidRPr="00637340">
              <w:t>1-in-10 August System Peak Day</w:t>
            </w:r>
          </w:p>
        </w:tc>
        <w:tc>
          <w:tcPr>
            <w:tcW w:w="1163"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2012</w:t>
            </w:r>
          </w:p>
        </w:tc>
        <w:tc>
          <w:tcPr>
            <w:tcW w:w="118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29.3</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20.6</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25.7</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29.3</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32.8</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37.9</w:t>
            </w:r>
          </w:p>
        </w:tc>
      </w:tr>
      <w:tr w:rsidR="00637340" w:rsidRPr="00637340" w:rsidTr="00E640AA">
        <w:trPr>
          <w:trHeight w:val="300"/>
          <w:jc w:val="center"/>
        </w:trPr>
        <w:tc>
          <w:tcPr>
            <w:tcW w:w="1080" w:type="dxa"/>
            <w:vMerge/>
            <w:vAlign w:val="center"/>
            <w:hideMark/>
          </w:tcPr>
          <w:p w:rsidR="00637340" w:rsidRPr="00637340" w:rsidRDefault="00637340" w:rsidP="00A907B2">
            <w:pPr>
              <w:pStyle w:val="TableText"/>
            </w:pPr>
          </w:p>
        </w:tc>
        <w:tc>
          <w:tcPr>
            <w:tcW w:w="1163"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2013</w:t>
            </w:r>
          </w:p>
        </w:tc>
        <w:tc>
          <w:tcPr>
            <w:tcW w:w="118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29.5</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20.8</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25.9</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29.5</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33.1</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38.2</w:t>
            </w:r>
          </w:p>
        </w:tc>
      </w:tr>
      <w:tr w:rsidR="00637340" w:rsidRPr="00637340" w:rsidTr="00E640AA">
        <w:trPr>
          <w:trHeight w:val="300"/>
          <w:jc w:val="center"/>
        </w:trPr>
        <w:tc>
          <w:tcPr>
            <w:tcW w:w="1080" w:type="dxa"/>
            <w:vMerge/>
            <w:vAlign w:val="center"/>
            <w:hideMark/>
          </w:tcPr>
          <w:p w:rsidR="00637340" w:rsidRPr="00637340" w:rsidRDefault="00637340" w:rsidP="00A907B2">
            <w:pPr>
              <w:pStyle w:val="TableText"/>
            </w:pPr>
          </w:p>
        </w:tc>
        <w:tc>
          <w:tcPr>
            <w:tcW w:w="1163"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2014</w:t>
            </w:r>
          </w:p>
        </w:tc>
        <w:tc>
          <w:tcPr>
            <w:tcW w:w="118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29.8</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21.0</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26.2</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29.8</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33.4</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38.6</w:t>
            </w:r>
          </w:p>
        </w:tc>
      </w:tr>
      <w:tr w:rsidR="00637340" w:rsidRPr="00637340" w:rsidTr="00E640AA">
        <w:trPr>
          <w:trHeight w:val="300"/>
          <w:jc w:val="center"/>
        </w:trPr>
        <w:tc>
          <w:tcPr>
            <w:tcW w:w="1080" w:type="dxa"/>
            <w:vMerge/>
            <w:vAlign w:val="center"/>
            <w:hideMark/>
          </w:tcPr>
          <w:p w:rsidR="00637340" w:rsidRPr="00637340" w:rsidRDefault="00637340" w:rsidP="00A907B2">
            <w:pPr>
              <w:pStyle w:val="TableText"/>
            </w:pPr>
          </w:p>
        </w:tc>
        <w:tc>
          <w:tcPr>
            <w:tcW w:w="1163"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2015</w:t>
            </w:r>
          </w:p>
        </w:tc>
        <w:tc>
          <w:tcPr>
            <w:tcW w:w="118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30.1</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21.2</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26.4</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30.1</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33.7</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39.0</w:t>
            </w:r>
          </w:p>
        </w:tc>
      </w:tr>
      <w:tr w:rsidR="00637340" w:rsidRPr="00637340" w:rsidTr="00E640AA">
        <w:trPr>
          <w:trHeight w:val="300"/>
          <w:jc w:val="center"/>
        </w:trPr>
        <w:tc>
          <w:tcPr>
            <w:tcW w:w="1080" w:type="dxa"/>
            <w:vMerge/>
            <w:vAlign w:val="center"/>
            <w:hideMark/>
          </w:tcPr>
          <w:p w:rsidR="00637340" w:rsidRPr="00637340" w:rsidRDefault="00637340" w:rsidP="00A907B2">
            <w:pPr>
              <w:pStyle w:val="TableText"/>
            </w:pPr>
          </w:p>
        </w:tc>
        <w:tc>
          <w:tcPr>
            <w:tcW w:w="1163"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2016</w:t>
            </w:r>
            <w:r w:rsidR="00CA470C">
              <w:t>–</w:t>
            </w:r>
            <w:r w:rsidRPr="00637340">
              <w:t>2023</w:t>
            </w:r>
          </w:p>
        </w:tc>
        <w:tc>
          <w:tcPr>
            <w:tcW w:w="118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30.2</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21.3</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26.5</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30.2</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33.8</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39.1</w:t>
            </w:r>
          </w:p>
        </w:tc>
      </w:tr>
      <w:tr w:rsidR="00637340" w:rsidRPr="00637340" w:rsidTr="00E640AA">
        <w:trPr>
          <w:trHeight w:val="300"/>
          <w:jc w:val="center"/>
        </w:trPr>
        <w:tc>
          <w:tcPr>
            <w:tcW w:w="1080" w:type="dxa"/>
            <w:vMerge w:val="restart"/>
            <w:shd w:val="clear" w:color="auto" w:fill="auto"/>
            <w:vAlign w:val="center"/>
            <w:hideMark/>
          </w:tcPr>
          <w:p w:rsidR="00637340" w:rsidRPr="00637340" w:rsidRDefault="00637340" w:rsidP="00A907B2">
            <w:pPr>
              <w:pStyle w:val="TableText"/>
              <w:rPr>
                <w:rFonts w:eastAsia="Calibri" w:cs="Times New Roman"/>
                <w:sz w:val="20"/>
              </w:rPr>
            </w:pPr>
            <w:r w:rsidRPr="00637340">
              <w:t>1-in-2 August System Peak Day</w:t>
            </w:r>
          </w:p>
        </w:tc>
        <w:tc>
          <w:tcPr>
            <w:tcW w:w="1163"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2012</w:t>
            </w:r>
          </w:p>
        </w:tc>
        <w:tc>
          <w:tcPr>
            <w:tcW w:w="118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31.0</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21.9</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27.3</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31.0</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34.7</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40.1</w:t>
            </w:r>
          </w:p>
        </w:tc>
      </w:tr>
      <w:tr w:rsidR="00637340" w:rsidRPr="00637340" w:rsidTr="00E640AA">
        <w:trPr>
          <w:trHeight w:val="300"/>
          <w:jc w:val="center"/>
        </w:trPr>
        <w:tc>
          <w:tcPr>
            <w:tcW w:w="1080" w:type="dxa"/>
            <w:vMerge/>
            <w:vAlign w:val="center"/>
            <w:hideMark/>
          </w:tcPr>
          <w:p w:rsidR="00637340" w:rsidRPr="00637340" w:rsidRDefault="00637340" w:rsidP="00A907B2">
            <w:pPr>
              <w:pStyle w:val="TableText"/>
            </w:pPr>
          </w:p>
        </w:tc>
        <w:tc>
          <w:tcPr>
            <w:tcW w:w="1163"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2013</w:t>
            </w:r>
          </w:p>
        </w:tc>
        <w:tc>
          <w:tcPr>
            <w:tcW w:w="118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31.2</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22.0</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27.5</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31.2</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35.0</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40.4</w:t>
            </w:r>
          </w:p>
        </w:tc>
      </w:tr>
      <w:tr w:rsidR="00637340" w:rsidRPr="00637340" w:rsidTr="00E640AA">
        <w:trPr>
          <w:trHeight w:val="300"/>
          <w:jc w:val="center"/>
        </w:trPr>
        <w:tc>
          <w:tcPr>
            <w:tcW w:w="1080" w:type="dxa"/>
            <w:vMerge/>
            <w:vAlign w:val="center"/>
            <w:hideMark/>
          </w:tcPr>
          <w:p w:rsidR="00637340" w:rsidRPr="00637340" w:rsidRDefault="00637340" w:rsidP="00A907B2">
            <w:pPr>
              <w:pStyle w:val="TableText"/>
            </w:pPr>
          </w:p>
        </w:tc>
        <w:tc>
          <w:tcPr>
            <w:tcW w:w="1163"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2014</w:t>
            </w:r>
          </w:p>
        </w:tc>
        <w:tc>
          <w:tcPr>
            <w:tcW w:w="118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31.5</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22.3</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27.7</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31.5</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35.3</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40.8</w:t>
            </w:r>
          </w:p>
        </w:tc>
      </w:tr>
      <w:tr w:rsidR="00637340" w:rsidRPr="00637340" w:rsidTr="00E640AA">
        <w:trPr>
          <w:trHeight w:val="300"/>
          <w:jc w:val="center"/>
        </w:trPr>
        <w:tc>
          <w:tcPr>
            <w:tcW w:w="1080" w:type="dxa"/>
            <w:vMerge/>
            <w:vAlign w:val="center"/>
            <w:hideMark/>
          </w:tcPr>
          <w:p w:rsidR="00637340" w:rsidRPr="00637340" w:rsidRDefault="00637340" w:rsidP="00A907B2">
            <w:pPr>
              <w:pStyle w:val="TableText"/>
            </w:pPr>
          </w:p>
        </w:tc>
        <w:tc>
          <w:tcPr>
            <w:tcW w:w="1163"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2015</w:t>
            </w:r>
          </w:p>
        </w:tc>
        <w:tc>
          <w:tcPr>
            <w:tcW w:w="118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31.9</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22.5</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28.0</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31.9</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35.7</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41.2</w:t>
            </w:r>
          </w:p>
        </w:tc>
      </w:tr>
      <w:tr w:rsidR="00637340" w:rsidRPr="00637340" w:rsidTr="00E640AA">
        <w:trPr>
          <w:trHeight w:val="300"/>
          <w:jc w:val="center"/>
        </w:trPr>
        <w:tc>
          <w:tcPr>
            <w:tcW w:w="1080" w:type="dxa"/>
            <w:vMerge/>
            <w:vAlign w:val="center"/>
            <w:hideMark/>
          </w:tcPr>
          <w:p w:rsidR="00637340" w:rsidRPr="00637340" w:rsidRDefault="00637340" w:rsidP="00A907B2">
            <w:pPr>
              <w:pStyle w:val="TableText"/>
            </w:pPr>
          </w:p>
        </w:tc>
        <w:tc>
          <w:tcPr>
            <w:tcW w:w="1163"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2016</w:t>
            </w:r>
            <w:r w:rsidR="00CA470C">
              <w:t>–</w:t>
            </w:r>
            <w:r w:rsidRPr="00637340">
              <w:t>2023</w:t>
            </w:r>
          </w:p>
        </w:tc>
        <w:tc>
          <w:tcPr>
            <w:tcW w:w="118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32.0</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22.6</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28.1</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32.0</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35.8</w:t>
            </w:r>
          </w:p>
        </w:tc>
        <w:tc>
          <w:tcPr>
            <w:tcW w:w="960" w:type="dxa"/>
            <w:shd w:val="clear" w:color="auto" w:fill="auto"/>
            <w:noWrap/>
            <w:vAlign w:val="bottom"/>
            <w:hideMark/>
          </w:tcPr>
          <w:p w:rsidR="00637340" w:rsidRPr="00637340" w:rsidRDefault="00637340" w:rsidP="00A907B2">
            <w:pPr>
              <w:pStyle w:val="TableText"/>
              <w:rPr>
                <w:rFonts w:eastAsia="Calibri" w:cs="Times New Roman"/>
                <w:sz w:val="20"/>
              </w:rPr>
            </w:pPr>
            <w:r w:rsidRPr="00637340">
              <w:t>41.4</w:t>
            </w:r>
          </w:p>
        </w:tc>
      </w:tr>
    </w:tbl>
    <w:p w:rsidR="00637340" w:rsidRPr="00DE5297" w:rsidRDefault="00637340" w:rsidP="00DE5297">
      <w:pPr>
        <w:pStyle w:val="BodyParagraph"/>
        <w:jc w:val="center"/>
      </w:pPr>
    </w:p>
    <w:p w:rsidR="00FB0DDB" w:rsidRDefault="00FB0DDB" w:rsidP="00FB0DDB">
      <w:pPr>
        <w:pStyle w:val="Heading2"/>
        <w:ind w:left="576" w:hanging="576"/>
      </w:pPr>
      <w:bookmarkStart w:id="205" w:name="_Toc289178040"/>
      <w:bookmarkStart w:id="206" w:name="_Toc326072140"/>
      <w:bookmarkStart w:id="207" w:name="_Toc352323664"/>
      <w:r w:rsidRPr="0053357A">
        <w:t xml:space="preserve">Ex Ante </w:t>
      </w:r>
      <w:bookmarkEnd w:id="205"/>
      <w:bookmarkEnd w:id="206"/>
      <w:r w:rsidR="00956A2E">
        <w:t>Impacts by Geographic Location</w:t>
      </w:r>
      <w:bookmarkEnd w:id="207"/>
    </w:p>
    <w:p w:rsidR="00873318" w:rsidRDefault="00637340" w:rsidP="00FB0DDB">
      <w:pPr>
        <w:pStyle w:val="BodyParagraph"/>
      </w:pPr>
      <w:r>
        <w:t>I</w:t>
      </w:r>
      <w:r w:rsidR="00FB0DDB">
        <w:t>t is instructive to look at per customer ex ante estimates of peak reference loads and load reduction independent of enrollment projections.  The biggest sources of uncertainty in aggregate ex ante impacts arise from the enrollment projections under default CPP.  Table 8-4 shows the average reference loads and load reduction over the 1</w:t>
      </w:r>
      <w:r w:rsidR="00497509">
        <w:t>–</w:t>
      </w:r>
      <w:r w:rsidR="00FB0DDB">
        <w:t xml:space="preserve">6 PM event window for the average customer in 2012 by </w:t>
      </w:r>
      <w:r w:rsidR="00FA5DBD">
        <w:t xml:space="preserve">month, </w:t>
      </w:r>
      <w:r w:rsidR="00873318">
        <w:t>weather year</w:t>
      </w:r>
      <w:r w:rsidR="00FA5DBD">
        <w:t xml:space="preserve"> and transmission area</w:t>
      </w:r>
      <w:r w:rsidR="00873318">
        <w:t xml:space="preserve">. </w:t>
      </w:r>
      <w:r w:rsidR="00FA5DBD">
        <w:t xml:space="preserve"> </w:t>
      </w:r>
      <w:r w:rsidR="00873318">
        <w:t>Overall load absent demand response</w:t>
      </w:r>
      <w:r w:rsidR="00FB0DDB">
        <w:t xml:space="preserve"> – the reference loads – vary significantly with weather year </w:t>
      </w:r>
      <w:r w:rsidR="00873318">
        <w:t>and month.  Table 8-5 follows with</w:t>
      </w:r>
      <w:r w:rsidR="00653562">
        <w:t xml:space="preserve"> </w:t>
      </w:r>
      <w:r w:rsidR="00FB0DDB">
        <w:t>per-customer ex ante load reductions by month</w:t>
      </w:r>
      <w:r w:rsidR="00873318">
        <w:t xml:space="preserve"> and weather year</w:t>
      </w:r>
      <w:r w:rsidR="00FB0DDB">
        <w:t xml:space="preserve">.  It shows </w:t>
      </w:r>
      <w:r w:rsidR="00653562">
        <w:t>a</w:t>
      </w:r>
      <w:r w:rsidR="00FB0DDB">
        <w:t xml:space="preserve">verage participant load reduction for each monthly system peak day under 1-in-2 and 1-in-10 system peaking conditions.  </w:t>
      </w:r>
      <w:r w:rsidR="00873318">
        <w:t xml:space="preserve">These tables include estimates of reference load and load impacts for non-summer months, even though no CPP events have been called in the winter, to date.  The ex ante modeling process </w:t>
      </w:r>
      <w:r w:rsidR="00873318" w:rsidRPr="00F21899">
        <w:t>included limit</w:t>
      </w:r>
      <w:r w:rsidR="00F21899" w:rsidRPr="00F21899">
        <w:t>ations</w:t>
      </w:r>
      <w:r w:rsidR="00F21899">
        <w:t xml:space="preserve"> on</w:t>
      </w:r>
      <w:r w:rsidR="00F21899" w:rsidRPr="00F21899">
        <w:t>to</w:t>
      </w:r>
      <w:r w:rsidR="00F21899">
        <w:t xml:space="preserve"> how far out of sample the models were permitted to predict, by setting a load impact “floor” based on the coolest SCE CPP events on record, and a load impact “ceiling” based on the hottest SCE CPP events on</w:t>
      </w:r>
      <w:r w:rsidR="00497509">
        <w:t> </w:t>
      </w:r>
      <w:r w:rsidR="00F21899">
        <w:t>record</w:t>
      </w:r>
      <w:r w:rsidR="00873318">
        <w:t>.</w:t>
      </w:r>
      <w:r w:rsidR="00FB0DDB">
        <w:t xml:space="preserve">  </w:t>
      </w:r>
    </w:p>
    <w:p w:rsidR="00E640AA" w:rsidRDefault="00873318" w:rsidP="00FB0DDB">
      <w:pPr>
        <w:pStyle w:val="BodyParagraph"/>
      </w:pPr>
      <w:r>
        <w:t xml:space="preserve">Table 8-6 </w:t>
      </w:r>
      <w:r w:rsidR="00BD7DB9">
        <w:t>provides additional detail for the August Monthly Peaks by transmission area</w:t>
      </w:r>
      <w:r>
        <w:t xml:space="preserve">.  </w:t>
      </w:r>
      <w:r w:rsidR="00FB0DDB">
        <w:t xml:space="preserve">On an individual customer basis, the load reductions are largest in the </w:t>
      </w:r>
      <w:r w:rsidR="00BD7DB9">
        <w:t>South of Lugo region</w:t>
      </w:r>
      <w:r w:rsidR="00EC488A">
        <w:t xml:space="preserve"> and lowest in South Orange County</w:t>
      </w:r>
      <w:r w:rsidR="00BD7DB9">
        <w:t>.  H</w:t>
      </w:r>
      <w:r>
        <w:t>owever</w:t>
      </w:r>
      <w:r w:rsidR="00BD7DB9">
        <w:t>,</w:t>
      </w:r>
      <w:r>
        <w:t xml:space="preserve"> the reference loads are largest for those customers classified as Other – located in transmission planning regions other than </w:t>
      </w:r>
      <w:r w:rsidR="00E8093E">
        <w:t>South</w:t>
      </w:r>
      <w:r>
        <w:t xml:space="preserve"> of Lugo or South Orange County. </w:t>
      </w:r>
      <w:r w:rsidR="00EC488A">
        <w:t xml:space="preserve"> South of Lugo has a disproportionate share of Manufacturing and </w:t>
      </w:r>
      <w:r w:rsidR="00497509">
        <w:t>W</w:t>
      </w:r>
      <w:r w:rsidR="00497509" w:rsidRPr="00230675">
        <w:t>holesale</w:t>
      </w:r>
      <w:r w:rsidR="00497509">
        <w:t>,</w:t>
      </w:r>
      <w:r w:rsidR="00497509" w:rsidRPr="00230675">
        <w:t xml:space="preserve"> </w:t>
      </w:r>
      <w:r w:rsidR="00497509">
        <w:t>T</w:t>
      </w:r>
      <w:r w:rsidR="00497509" w:rsidRPr="00230675">
        <w:t>r</w:t>
      </w:r>
      <w:r w:rsidR="00497509">
        <w:t>ansport &amp; Other Utilities</w:t>
      </w:r>
      <w:r w:rsidR="00EC488A">
        <w:t xml:space="preserve"> customers, which are more price responsive, than other areas.</w:t>
      </w:r>
      <w:r w:rsidR="00497509">
        <w:t xml:space="preserve"> </w:t>
      </w:r>
    </w:p>
    <w:p w:rsidR="00E640AA" w:rsidRDefault="00E640AA">
      <w:pPr>
        <w:rPr>
          <w:rFonts w:ascii="Verdana" w:hAnsi="Verdana"/>
          <w:sz w:val="18"/>
        </w:rPr>
      </w:pPr>
      <w:r>
        <w:br w:type="page"/>
      </w:r>
    </w:p>
    <w:p w:rsidR="00081078" w:rsidRDefault="00081078" w:rsidP="00081078">
      <w:pPr>
        <w:pStyle w:val="TableFigureCaption"/>
      </w:pPr>
      <w:r>
        <w:lastRenderedPageBreak/>
        <w:t>Table 8-</w:t>
      </w:r>
      <w:r w:rsidR="00873318">
        <w:t>4</w:t>
      </w:r>
      <w:r w:rsidR="00FB0DDB">
        <w:t>:</w:t>
      </w:r>
      <w:r w:rsidR="00626371">
        <w:t xml:space="preserve"> </w:t>
      </w:r>
      <w:r>
        <w:t>SCE</w:t>
      </w:r>
      <w:r w:rsidR="00EC488A">
        <w:t xml:space="preserve"> Average Customer</w:t>
      </w:r>
      <w:r>
        <w:t xml:space="preserve"> Reference Load </w:t>
      </w:r>
      <w:r w:rsidR="00EC488A">
        <w:t>(kW) by Month and Transmission Area</w:t>
      </w:r>
    </w:p>
    <w:tbl>
      <w:tblPr>
        <w:tblW w:w="5000" w:type="pct"/>
        <w:tblLook w:val="04A0" w:firstRow="1" w:lastRow="0" w:firstColumn="1" w:lastColumn="0" w:noHBand="0" w:noVBand="1"/>
      </w:tblPr>
      <w:tblGrid>
        <w:gridCol w:w="927"/>
        <w:gridCol w:w="1657"/>
        <w:gridCol w:w="582"/>
        <w:gridCol w:w="582"/>
        <w:gridCol w:w="582"/>
        <w:gridCol w:w="582"/>
        <w:gridCol w:w="583"/>
        <w:gridCol w:w="583"/>
        <w:gridCol w:w="583"/>
        <w:gridCol w:w="583"/>
        <w:gridCol w:w="583"/>
        <w:gridCol w:w="583"/>
        <w:gridCol w:w="583"/>
        <w:gridCol w:w="583"/>
      </w:tblGrid>
      <w:tr w:rsidR="00FA5DBD" w:rsidRPr="00FA5DBD" w:rsidTr="00E640AA">
        <w:trPr>
          <w:cantSplit/>
          <w:trHeight w:val="480"/>
        </w:trPr>
        <w:tc>
          <w:tcPr>
            <w:tcW w:w="333" w:type="pct"/>
            <w:tcBorders>
              <w:top w:val="single" w:sz="4" w:space="0" w:color="000000"/>
              <w:left w:val="single" w:sz="4" w:space="0" w:color="000000"/>
              <w:bottom w:val="nil"/>
              <w:right w:val="single" w:sz="4" w:space="0" w:color="FFFFFF"/>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Weather Year</w:t>
            </w:r>
          </w:p>
        </w:tc>
        <w:tc>
          <w:tcPr>
            <w:tcW w:w="667" w:type="pct"/>
            <w:tcBorders>
              <w:top w:val="single" w:sz="4" w:space="0" w:color="000000"/>
              <w:left w:val="nil"/>
              <w:bottom w:val="nil"/>
              <w:right w:val="single" w:sz="4" w:space="0" w:color="FFFFFF"/>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Area</w:t>
            </w:r>
          </w:p>
        </w:tc>
        <w:tc>
          <w:tcPr>
            <w:tcW w:w="333" w:type="pct"/>
            <w:tcBorders>
              <w:top w:val="single" w:sz="4" w:space="0" w:color="000000"/>
              <w:left w:val="nil"/>
              <w:bottom w:val="nil"/>
              <w:right w:val="single" w:sz="4" w:space="0" w:color="FFFFFF"/>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Jan</w:t>
            </w:r>
          </w:p>
        </w:tc>
        <w:tc>
          <w:tcPr>
            <w:tcW w:w="333" w:type="pct"/>
            <w:tcBorders>
              <w:top w:val="single" w:sz="4" w:space="0" w:color="000000"/>
              <w:left w:val="nil"/>
              <w:bottom w:val="nil"/>
              <w:right w:val="single" w:sz="4" w:space="0" w:color="FFFFFF"/>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Feb</w:t>
            </w:r>
          </w:p>
        </w:tc>
        <w:tc>
          <w:tcPr>
            <w:tcW w:w="333" w:type="pct"/>
            <w:tcBorders>
              <w:top w:val="single" w:sz="4" w:space="0" w:color="000000"/>
              <w:left w:val="nil"/>
              <w:bottom w:val="nil"/>
              <w:right w:val="single" w:sz="4" w:space="0" w:color="FFFFFF"/>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Mar</w:t>
            </w:r>
          </w:p>
        </w:tc>
        <w:tc>
          <w:tcPr>
            <w:tcW w:w="333" w:type="pct"/>
            <w:tcBorders>
              <w:top w:val="single" w:sz="4" w:space="0" w:color="000000"/>
              <w:left w:val="nil"/>
              <w:bottom w:val="nil"/>
              <w:right w:val="single" w:sz="4" w:space="0" w:color="FFFFFF"/>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Apr</w:t>
            </w:r>
          </w:p>
        </w:tc>
        <w:tc>
          <w:tcPr>
            <w:tcW w:w="333" w:type="pct"/>
            <w:tcBorders>
              <w:top w:val="single" w:sz="4" w:space="0" w:color="000000"/>
              <w:left w:val="nil"/>
              <w:bottom w:val="nil"/>
              <w:right w:val="single" w:sz="4" w:space="0" w:color="FFFFFF"/>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May</w:t>
            </w:r>
          </w:p>
        </w:tc>
        <w:tc>
          <w:tcPr>
            <w:tcW w:w="333" w:type="pct"/>
            <w:tcBorders>
              <w:top w:val="single" w:sz="4" w:space="0" w:color="000000"/>
              <w:left w:val="nil"/>
              <w:bottom w:val="nil"/>
              <w:right w:val="single" w:sz="4" w:space="0" w:color="FFFFFF"/>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Jun</w:t>
            </w:r>
          </w:p>
        </w:tc>
        <w:tc>
          <w:tcPr>
            <w:tcW w:w="333" w:type="pct"/>
            <w:tcBorders>
              <w:top w:val="single" w:sz="4" w:space="0" w:color="000000"/>
              <w:left w:val="nil"/>
              <w:bottom w:val="nil"/>
              <w:right w:val="single" w:sz="4" w:space="0" w:color="FFFFFF"/>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Jul</w:t>
            </w:r>
          </w:p>
        </w:tc>
        <w:tc>
          <w:tcPr>
            <w:tcW w:w="333" w:type="pct"/>
            <w:tcBorders>
              <w:top w:val="single" w:sz="4" w:space="0" w:color="000000"/>
              <w:left w:val="nil"/>
              <w:bottom w:val="nil"/>
              <w:right w:val="single" w:sz="4" w:space="0" w:color="FFFFFF"/>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Aug</w:t>
            </w:r>
          </w:p>
        </w:tc>
        <w:tc>
          <w:tcPr>
            <w:tcW w:w="333" w:type="pct"/>
            <w:tcBorders>
              <w:top w:val="single" w:sz="4" w:space="0" w:color="000000"/>
              <w:left w:val="nil"/>
              <w:bottom w:val="nil"/>
              <w:right w:val="single" w:sz="4" w:space="0" w:color="FFFFFF"/>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Sep</w:t>
            </w:r>
          </w:p>
        </w:tc>
        <w:tc>
          <w:tcPr>
            <w:tcW w:w="333" w:type="pct"/>
            <w:tcBorders>
              <w:top w:val="single" w:sz="4" w:space="0" w:color="000000"/>
              <w:left w:val="nil"/>
              <w:bottom w:val="nil"/>
              <w:right w:val="single" w:sz="4" w:space="0" w:color="FFFFFF"/>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Oct</w:t>
            </w:r>
          </w:p>
        </w:tc>
        <w:tc>
          <w:tcPr>
            <w:tcW w:w="333" w:type="pct"/>
            <w:tcBorders>
              <w:top w:val="single" w:sz="4" w:space="0" w:color="000000"/>
              <w:left w:val="nil"/>
              <w:bottom w:val="nil"/>
              <w:right w:val="single" w:sz="4" w:space="0" w:color="FFFFFF"/>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Nov</w:t>
            </w:r>
          </w:p>
        </w:tc>
        <w:tc>
          <w:tcPr>
            <w:tcW w:w="333" w:type="pct"/>
            <w:tcBorders>
              <w:top w:val="single" w:sz="4" w:space="0" w:color="000000"/>
              <w:left w:val="nil"/>
              <w:bottom w:val="nil"/>
              <w:right w:val="single" w:sz="4" w:space="0" w:color="000000"/>
            </w:tcBorders>
            <w:shd w:val="clear" w:color="000000" w:fill="1F497D"/>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Dec</w:t>
            </w:r>
          </w:p>
        </w:tc>
      </w:tr>
      <w:tr w:rsidR="00FA5DBD" w:rsidRPr="00FA5DBD" w:rsidTr="00E640AA">
        <w:trPr>
          <w:cantSplit/>
          <w:trHeight w:val="432"/>
        </w:trPr>
        <w:tc>
          <w:tcPr>
            <w:tcW w:w="33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1-in-10</w:t>
            </w:r>
          </w:p>
        </w:tc>
        <w:tc>
          <w:tcPr>
            <w:tcW w:w="667" w:type="pct"/>
            <w:tcBorders>
              <w:top w:val="single" w:sz="4" w:space="0" w:color="auto"/>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South of Lugo</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179</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204</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209</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214</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226</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224</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224</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235</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238</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228</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214</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175</w:t>
            </w:r>
          </w:p>
        </w:tc>
      </w:tr>
      <w:tr w:rsidR="00FA5DBD" w:rsidRPr="00FA5DBD" w:rsidTr="00E640AA">
        <w:trPr>
          <w:cantSplit/>
          <w:trHeight w:val="432"/>
        </w:trPr>
        <w:tc>
          <w:tcPr>
            <w:tcW w:w="333" w:type="pct"/>
            <w:vMerge/>
            <w:tcBorders>
              <w:top w:val="single" w:sz="4" w:space="0" w:color="auto"/>
              <w:left w:val="single" w:sz="4" w:space="0" w:color="auto"/>
              <w:bottom w:val="single" w:sz="4" w:space="0" w:color="auto"/>
              <w:right w:val="single" w:sz="4" w:space="0" w:color="auto"/>
            </w:tcBorders>
            <w:vAlign w:val="center"/>
            <w:hideMark/>
          </w:tcPr>
          <w:p w:rsidR="00FA5DBD" w:rsidRPr="00FA5DBD" w:rsidRDefault="00FA5DBD" w:rsidP="00FA5DBD">
            <w:pPr>
              <w:spacing w:after="0" w:line="240" w:lineRule="auto"/>
              <w:rPr>
                <w:rFonts w:ascii="Arial" w:eastAsia="Times New Roman" w:hAnsi="Arial" w:cs="Arial"/>
                <w:color w:val="000000"/>
                <w:sz w:val="18"/>
                <w:szCs w:val="18"/>
              </w:rPr>
            </w:pPr>
          </w:p>
        </w:tc>
        <w:tc>
          <w:tcPr>
            <w:tcW w:w="667"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S. Orange County</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189</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211</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231</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246</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243</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244</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246</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258</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261</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251</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258</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184</w:t>
            </w:r>
          </w:p>
        </w:tc>
      </w:tr>
      <w:tr w:rsidR="00FA5DBD" w:rsidRPr="00FA5DBD" w:rsidTr="00E640AA">
        <w:trPr>
          <w:cantSplit/>
          <w:trHeight w:val="432"/>
        </w:trPr>
        <w:tc>
          <w:tcPr>
            <w:tcW w:w="333" w:type="pct"/>
            <w:vMerge/>
            <w:tcBorders>
              <w:top w:val="single" w:sz="4" w:space="0" w:color="auto"/>
              <w:left w:val="single" w:sz="4" w:space="0" w:color="auto"/>
              <w:bottom w:val="single" w:sz="4" w:space="0" w:color="auto"/>
              <w:right w:val="single" w:sz="4" w:space="0" w:color="auto"/>
            </w:tcBorders>
            <w:vAlign w:val="center"/>
            <w:hideMark/>
          </w:tcPr>
          <w:p w:rsidR="00FA5DBD" w:rsidRPr="00FA5DBD" w:rsidRDefault="00FA5DBD" w:rsidP="00FA5DBD">
            <w:pPr>
              <w:spacing w:after="0" w:line="240" w:lineRule="auto"/>
              <w:rPr>
                <w:rFonts w:ascii="Arial" w:eastAsia="Times New Roman" w:hAnsi="Arial" w:cs="Arial"/>
                <w:color w:val="000000"/>
                <w:sz w:val="18"/>
                <w:szCs w:val="18"/>
              </w:rPr>
            </w:pPr>
          </w:p>
        </w:tc>
        <w:tc>
          <w:tcPr>
            <w:tcW w:w="667"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Other</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168</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183</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191</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199</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211</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207</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205</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218</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221</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211</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198</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165</w:t>
            </w:r>
          </w:p>
        </w:tc>
      </w:tr>
      <w:tr w:rsidR="00FA5DBD" w:rsidRPr="00FA5DBD" w:rsidTr="00E640AA">
        <w:trPr>
          <w:cantSplit/>
          <w:trHeight w:val="432"/>
        </w:trPr>
        <w:tc>
          <w:tcPr>
            <w:tcW w:w="333" w:type="pct"/>
            <w:vMerge/>
            <w:tcBorders>
              <w:top w:val="single" w:sz="4" w:space="0" w:color="auto"/>
              <w:left w:val="single" w:sz="4" w:space="0" w:color="auto"/>
              <w:bottom w:val="single" w:sz="4" w:space="0" w:color="auto"/>
              <w:right w:val="single" w:sz="4" w:space="0" w:color="auto"/>
            </w:tcBorders>
            <w:vAlign w:val="center"/>
            <w:hideMark/>
          </w:tcPr>
          <w:p w:rsidR="00FA5DBD" w:rsidRPr="00FA5DBD" w:rsidRDefault="00FA5DBD" w:rsidP="00FA5DBD">
            <w:pPr>
              <w:spacing w:after="0" w:line="240" w:lineRule="auto"/>
              <w:rPr>
                <w:rFonts w:ascii="Arial" w:eastAsia="Times New Roman" w:hAnsi="Arial" w:cs="Arial"/>
                <w:color w:val="000000"/>
                <w:sz w:val="18"/>
                <w:szCs w:val="18"/>
              </w:rPr>
            </w:pPr>
          </w:p>
        </w:tc>
        <w:tc>
          <w:tcPr>
            <w:tcW w:w="667"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All Customers</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173</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192</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200</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208</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219</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216</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215</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227</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230</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220</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208</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170</w:t>
            </w:r>
          </w:p>
        </w:tc>
      </w:tr>
      <w:tr w:rsidR="00FA5DBD" w:rsidRPr="00FA5DBD" w:rsidTr="00E640AA">
        <w:trPr>
          <w:cantSplit/>
          <w:trHeight w:val="432"/>
        </w:trPr>
        <w:tc>
          <w:tcPr>
            <w:tcW w:w="33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1-in-2</w:t>
            </w:r>
          </w:p>
        </w:tc>
        <w:tc>
          <w:tcPr>
            <w:tcW w:w="667"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South of Lugo</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179</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183</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183</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201</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219</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215</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219</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233</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235</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225</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203</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175</w:t>
            </w:r>
          </w:p>
        </w:tc>
      </w:tr>
      <w:tr w:rsidR="00FA5DBD" w:rsidRPr="00FA5DBD" w:rsidTr="00E640AA">
        <w:trPr>
          <w:cantSplit/>
          <w:trHeight w:val="432"/>
        </w:trPr>
        <w:tc>
          <w:tcPr>
            <w:tcW w:w="333" w:type="pct"/>
            <w:vMerge/>
            <w:tcBorders>
              <w:top w:val="nil"/>
              <w:left w:val="single" w:sz="4" w:space="0" w:color="auto"/>
              <w:bottom w:val="single" w:sz="4" w:space="0" w:color="auto"/>
              <w:right w:val="single" w:sz="4" w:space="0" w:color="auto"/>
            </w:tcBorders>
            <w:vAlign w:val="center"/>
            <w:hideMark/>
          </w:tcPr>
          <w:p w:rsidR="00FA5DBD" w:rsidRPr="00FA5DBD" w:rsidRDefault="00FA5DBD" w:rsidP="00FA5DBD">
            <w:pPr>
              <w:spacing w:after="0" w:line="240" w:lineRule="auto"/>
              <w:rPr>
                <w:rFonts w:ascii="Arial" w:eastAsia="Times New Roman" w:hAnsi="Arial" w:cs="Arial"/>
                <w:color w:val="000000"/>
                <w:sz w:val="18"/>
                <w:szCs w:val="18"/>
              </w:rPr>
            </w:pPr>
          </w:p>
        </w:tc>
        <w:tc>
          <w:tcPr>
            <w:tcW w:w="667"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S. Orange County</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189</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191</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194</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210</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236</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224</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236</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253</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258</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258</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218</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184</w:t>
            </w:r>
          </w:p>
        </w:tc>
      </w:tr>
      <w:tr w:rsidR="00FA5DBD" w:rsidRPr="00FA5DBD" w:rsidTr="00E640AA">
        <w:trPr>
          <w:cantSplit/>
          <w:trHeight w:val="432"/>
        </w:trPr>
        <w:tc>
          <w:tcPr>
            <w:tcW w:w="333" w:type="pct"/>
            <w:vMerge/>
            <w:tcBorders>
              <w:top w:val="nil"/>
              <w:left w:val="single" w:sz="4" w:space="0" w:color="auto"/>
              <w:bottom w:val="single" w:sz="4" w:space="0" w:color="auto"/>
              <w:right w:val="single" w:sz="4" w:space="0" w:color="auto"/>
            </w:tcBorders>
            <w:vAlign w:val="center"/>
            <w:hideMark/>
          </w:tcPr>
          <w:p w:rsidR="00FA5DBD" w:rsidRPr="00FA5DBD" w:rsidRDefault="00FA5DBD" w:rsidP="00FA5DBD">
            <w:pPr>
              <w:spacing w:after="0" w:line="240" w:lineRule="auto"/>
              <w:rPr>
                <w:rFonts w:ascii="Arial" w:eastAsia="Times New Roman" w:hAnsi="Arial" w:cs="Arial"/>
                <w:color w:val="000000"/>
                <w:sz w:val="18"/>
                <w:szCs w:val="18"/>
              </w:rPr>
            </w:pPr>
          </w:p>
        </w:tc>
        <w:tc>
          <w:tcPr>
            <w:tcW w:w="667"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Other</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168</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172</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171</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186</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205</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197</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200</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212</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219</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210</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185</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165</w:t>
            </w:r>
          </w:p>
        </w:tc>
      </w:tr>
      <w:tr w:rsidR="00FA5DBD" w:rsidRPr="00FA5DBD" w:rsidTr="00E640AA">
        <w:trPr>
          <w:cantSplit/>
          <w:trHeight w:val="432"/>
        </w:trPr>
        <w:tc>
          <w:tcPr>
            <w:tcW w:w="333" w:type="pct"/>
            <w:vMerge/>
            <w:tcBorders>
              <w:top w:val="nil"/>
              <w:left w:val="single" w:sz="4" w:space="0" w:color="auto"/>
              <w:bottom w:val="single" w:sz="4" w:space="0" w:color="auto"/>
              <w:right w:val="single" w:sz="4" w:space="0" w:color="auto"/>
            </w:tcBorders>
            <w:vAlign w:val="center"/>
            <w:hideMark/>
          </w:tcPr>
          <w:p w:rsidR="00FA5DBD" w:rsidRPr="00FA5DBD" w:rsidRDefault="00FA5DBD" w:rsidP="00FA5DBD">
            <w:pPr>
              <w:spacing w:after="0" w:line="240" w:lineRule="auto"/>
              <w:rPr>
                <w:rFonts w:ascii="Arial" w:eastAsia="Times New Roman" w:hAnsi="Arial" w:cs="Arial"/>
                <w:color w:val="000000"/>
                <w:sz w:val="18"/>
                <w:szCs w:val="18"/>
              </w:rPr>
            </w:pPr>
          </w:p>
        </w:tc>
        <w:tc>
          <w:tcPr>
            <w:tcW w:w="667"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All Customers</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173</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177</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177</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193</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212</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205</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209</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222</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228</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219</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194</w:t>
            </w:r>
          </w:p>
        </w:tc>
        <w:tc>
          <w:tcPr>
            <w:tcW w:w="333" w:type="pct"/>
            <w:tcBorders>
              <w:top w:val="nil"/>
              <w:left w:val="nil"/>
              <w:bottom w:val="single" w:sz="4" w:space="0" w:color="auto"/>
              <w:right w:val="single" w:sz="4" w:space="0" w:color="auto"/>
            </w:tcBorders>
            <w:shd w:val="clear" w:color="auto" w:fill="auto"/>
            <w:noWrap/>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170</w:t>
            </w:r>
          </w:p>
        </w:tc>
      </w:tr>
    </w:tbl>
    <w:p w:rsidR="00FB0DDB" w:rsidRDefault="00873318" w:rsidP="00E640AA">
      <w:pPr>
        <w:pStyle w:val="TableFigureCaption"/>
        <w:spacing w:before="360"/>
        <w:contextualSpacing/>
      </w:pPr>
      <w:r>
        <w:t>Table 8-5</w:t>
      </w:r>
      <w:r w:rsidR="00FB0DDB">
        <w:t>:</w:t>
      </w:r>
      <w:r w:rsidR="00626371">
        <w:t xml:space="preserve"> </w:t>
      </w:r>
      <w:r w:rsidR="00EC488A">
        <w:t>SCE Average Customer Load Impacts (kW) by Month and Transmission Area</w:t>
      </w:r>
    </w:p>
    <w:tbl>
      <w:tblPr>
        <w:tblW w:w="5000" w:type="pct"/>
        <w:tblLook w:val="04A0" w:firstRow="1" w:lastRow="0" w:firstColumn="1" w:lastColumn="0" w:noHBand="0" w:noVBand="1"/>
      </w:tblPr>
      <w:tblGrid>
        <w:gridCol w:w="769"/>
        <w:gridCol w:w="1499"/>
        <w:gridCol w:w="596"/>
        <w:gridCol w:w="596"/>
        <w:gridCol w:w="596"/>
        <w:gridCol w:w="596"/>
        <w:gridCol w:w="596"/>
        <w:gridCol w:w="596"/>
        <w:gridCol w:w="596"/>
        <w:gridCol w:w="596"/>
        <w:gridCol w:w="597"/>
        <w:gridCol w:w="597"/>
        <w:gridCol w:w="597"/>
        <w:gridCol w:w="591"/>
      </w:tblGrid>
      <w:tr w:rsidR="00FA5DBD" w:rsidRPr="00FA5DBD" w:rsidTr="00FA5DBD">
        <w:trPr>
          <w:trHeight w:val="480"/>
        </w:trPr>
        <w:tc>
          <w:tcPr>
            <w:tcW w:w="340" w:type="pct"/>
            <w:tcBorders>
              <w:top w:val="single" w:sz="4" w:space="0" w:color="000000"/>
              <w:left w:val="single" w:sz="4" w:space="0" w:color="000000"/>
              <w:bottom w:val="nil"/>
              <w:right w:val="single" w:sz="4" w:space="0" w:color="FFFFFF"/>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Weather Year</w:t>
            </w:r>
          </w:p>
        </w:tc>
        <w:tc>
          <w:tcPr>
            <w:tcW w:w="751" w:type="pct"/>
            <w:tcBorders>
              <w:top w:val="single" w:sz="4" w:space="0" w:color="000000"/>
              <w:left w:val="nil"/>
              <w:bottom w:val="nil"/>
              <w:right w:val="single" w:sz="4" w:space="0" w:color="FFFFFF"/>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Area</w:t>
            </w:r>
          </w:p>
        </w:tc>
        <w:tc>
          <w:tcPr>
            <w:tcW w:w="326" w:type="pct"/>
            <w:tcBorders>
              <w:top w:val="single" w:sz="4" w:space="0" w:color="000000"/>
              <w:left w:val="nil"/>
              <w:bottom w:val="nil"/>
              <w:right w:val="single" w:sz="4" w:space="0" w:color="FFFFFF"/>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Jan</w:t>
            </w:r>
          </w:p>
        </w:tc>
        <w:tc>
          <w:tcPr>
            <w:tcW w:w="326" w:type="pct"/>
            <w:tcBorders>
              <w:top w:val="single" w:sz="4" w:space="0" w:color="000000"/>
              <w:left w:val="nil"/>
              <w:bottom w:val="nil"/>
              <w:right w:val="single" w:sz="4" w:space="0" w:color="FFFFFF"/>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Feb</w:t>
            </w:r>
          </w:p>
        </w:tc>
        <w:tc>
          <w:tcPr>
            <w:tcW w:w="326" w:type="pct"/>
            <w:tcBorders>
              <w:top w:val="single" w:sz="4" w:space="0" w:color="000000"/>
              <w:left w:val="nil"/>
              <w:bottom w:val="nil"/>
              <w:right w:val="single" w:sz="4" w:space="0" w:color="FFFFFF"/>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Mar</w:t>
            </w:r>
          </w:p>
        </w:tc>
        <w:tc>
          <w:tcPr>
            <w:tcW w:w="326" w:type="pct"/>
            <w:tcBorders>
              <w:top w:val="single" w:sz="4" w:space="0" w:color="000000"/>
              <w:left w:val="nil"/>
              <w:bottom w:val="nil"/>
              <w:right w:val="single" w:sz="4" w:space="0" w:color="FFFFFF"/>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Apr</w:t>
            </w:r>
          </w:p>
        </w:tc>
        <w:tc>
          <w:tcPr>
            <w:tcW w:w="326" w:type="pct"/>
            <w:tcBorders>
              <w:top w:val="single" w:sz="4" w:space="0" w:color="000000"/>
              <w:left w:val="nil"/>
              <w:bottom w:val="nil"/>
              <w:right w:val="single" w:sz="4" w:space="0" w:color="FFFFFF"/>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May</w:t>
            </w:r>
          </w:p>
        </w:tc>
        <w:tc>
          <w:tcPr>
            <w:tcW w:w="326" w:type="pct"/>
            <w:tcBorders>
              <w:top w:val="single" w:sz="4" w:space="0" w:color="000000"/>
              <w:left w:val="nil"/>
              <w:bottom w:val="nil"/>
              <w:right w:val="single" w:sz="4" w:space="0" w:color="FFFFFF"/>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Jun</w:t>
            </w:r>
          </w:p>
        </w:tc>
        <w:tc>
          <w:tcPr>
            <w:tcW w:w="326" w:type="pct"/>
            <w:tcBorders>
              <w:top w:val="single" w:sz="4" w:space="0" w:color="000000"/>
              <w:left w:val="nil"/>
              <w:bottom w:val="nil"/>
              <w:right w:val="single" w:sz="4" w:space="0" w:color="FFFFFF"/>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Jul</w:t>
            </w:r>
          </w:p>
        </w:tc>
        <w:tc>
          <w:tcPr>
            <w:tcW w:w="326" w:type="pct"/>
            <w:tcBorders>
              <w:top w:val="single" w:sz="4" w:space="0" w:color="000000"/>
              <w:left w:val="nil"/>
              <w:bottom w:val="nil"/>
              <w:right w:val="single" w:sz="4" w:space="0" w:color="FFFFFF"/>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Aug</w:t>
            </w:r>
          </w:p>
        </w:tc>
        <w:tc>
          <w:tcPr>
            <w:tcW w:w="326" w:type="pct"/>
            <w:tcBorders>
              <w:top w:val="single" w:sz="4" w:space="0" w:color="000000"/>
              <w:left w:val="nil"/>
              <w:bottom w:val="nil"/>
              <w:right w:val="single" w:sz="4" w:space="0" w:color="FFFFFF"/>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Sep</w:t>
            </w:r>
          </w:p>
        </w:tc>
        <w:tc>
          <w:tcPr>
            <w:tcW w:w="326" w:type="pct"/>
            <w:tcBorders>
              <w:top w:val="single" w:sz="4" w:space="0" w:color="000000"/>
              <w:left w:val="nil"/>
              <w:bottom w:val="nil"/>
              <w:right w:val="single" w:sz="4" w:space="0" w:color="FFFFFF"/>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Oct</w:t>
            </w:r>
          </w:p>
        </w:tc>
        <w:tc>
          <w:tcPr>
            <w:tcW w:w="326" w:type="pct"/>
            <w:tcBorders>
              <w:top w:val="single" w:sz="4" w:space="0" w:color="000000"/>
              <w:left w:val="nil"/>
              <w:bottom w:val="nil"/>
              <w:right w:val="single" w:sz="4" w:space="0" w:color="FFFFFF"/>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Nov</w:t>
            </w:r>
          </w:p>
        </w:tc>
        <w:tc>
          <w:tcPr>
            <w:tcW w:w="326" w:type="pct"/>
            <w:tcBorders>
              <w:top w:val="single" w:sz="4" w:space="0" w:color="000000"/>
              <w:left w:val="nil"/>
              <w:bottom w:val="nil"/>
              <w:right w:val="single" w:sz="4" w:space="0" w:color="000000"/>
            </w:tcBorders>
            <w:shd w:val="clear" w:color="000000" w:fill="1F497D"/>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FFFFFF"/>
                <w:sz w:val="18"/>
                <w:szCs w:val="18"/>
              </w:rPr>
            </w:pPr>
            <w:r w:rsidRPr="00FA5DBD">
              <w:rPr>
                <w:rFonts w:ascii="Arial" w:eastAsia="Times New Roman" w:hAnsi="Arial" w:cs="Arial"/>
                <w:b/>
                <w:bCs/>
                <w:color w:val="FFFFFF"/>
                <w:sz w:val="18"/>
                <w:szCs w:val="18"/>
              </w:rPr>
              <w:t>Dec</w:t>
            </w:r>
          </w:p>
        </w:tc>
      </w:tr>
      <w:tr w:rsidR="00FA5DBD" w:rsidRPr="00FA5DBD" w:rsidTr="008629BE">
        <w:trPr>
          <w:trHeight w:val="432"/>
        </w:trPr>
        <w:tc>
          <w:tcPr>
            <w:tcW w:w="340" w:type="pct"/>
            <w:vMerge w:val="restart"/>
            <w:tcBorders>
              <w:top w:val="single" w:sz="4" w:space="0" w:color="auto"/>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1-in-10</w:t>
            </w:r>
          </w:p>
        </w:tc>
        <w:tc>
          <w:tcPr>
            <w:tcW w:w="751"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South of Lugo</w:t>
            </w:r>
          </w:p>
        </w:tc>
        <w:tc>
          <w:tcPr>
            <w:tcW w:w="326"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15.7</w:t>
            </w:r>
          </w:p>
        </w:tc>
        <w:tc>
          <w:tcPr>
            <w:tcW w:w="326"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15.7</w:t>
            </w:r>
          </w:p>
        </w:tc>
        <w:tc>
          <w:tcPr>
            <w:tcW w:w="326"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15.5</w:t>
            </w:r>
          </w:p>
        </w:tc>
        <w:tc>
          <w:tcPr>
            <w:tcW w:w="326"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15.7</w:t>
            </w:r>
          </w:p>
        </w:tc>
        <w:tc>
          <w:tcPr>
            <w:tcW w:w="326"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15.1</w:t>
            </w:r>
          </w:p>
        </w:tc>
        <w:tc>
          <w:tcPr>
            <w:tcW w:w="326"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15.5</w:t>
            </w:r>
          </w:p>
        </w:tc>
        <w:tc>
          <w:tcPr>
            <w:tcW w:w="326"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15.4</w:t>
            </w:r>
          </w:p>
        </w:tc>
        <w:tc>
          <w:tcPr>
            <w:tcW w:w="326"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15.5</w:t>
            </w:r>
          </w:p>
        </w:tc>
        <w:tc>
          <w:tcPr>
            <w:tcW w:w="326"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15.4</w:t>
            </w:r>
          </w:p>
        </w:tc>
        <w:tc>
          <w:tcPr>
            <w:tcW w:w="326"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15.5</w:t>
            </w:r>
          </w:p>
        </w:tc>
        <w:tc>
          <w:tcPr>
            <w:tcW w:w="326"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15.1</w:t>
            </w:r>
          </w:p>
        </w:tc>
        <w:tc>
          <w:tcPr>
            <w:tcW w:w="326" w:type="pct"/>
            <w:tcBorders>
              <w:top w:val="single" w:sz="4" w:space="0" w:color="auto"/>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15.7</w:t>
            </w:r>
          </w:p>
        </w:tc>
      </w:tr>
      <w:tr w:rsidR="00FA5DBD" w:rsidRPr="00FA5DBD" w:rsidTr="008629BE">
        <w:trPr>
          <w:trHeight w:val="432"/>
        </w:trPr>
        <w:tc>
          <w:tcPr>
            <w:tcW w:w="340" w:type="pct"/>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FA5DBD" w:rsidRPr="00FA5DBD" w:rsidRDefault="00FA5DBD" w:rsidP="00FA5DBD">
            <w:pPr>
              <w:spacing w:after="0" w:line="240" w:lineRule="auto"/>
              <w:rPr>
                <w:rFonts w:ascii="Arial" w:eastAsia="Times New Roman" w:hAnsi="Arial" w:cs="Arial"/>
                <w:color w:val="000000"/>
                <w:sz w:val="18"/>
                <w:szCs w:val="18"/>
              </w:rPr>
            </w:pPr>
          </w:p>
        </w:tc>
        <w:tc>
          <w:tcPr>
            <w:tcW w:w="75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S. Orange County</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6.2</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5.6</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6.1</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5.7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5.7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5.8</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5.7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5.8</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5.8</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5.8</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6.2</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6.3</w:t>
            </w:r>
          </w:p>
        </w:tc>
      </w:tr>
      <w:tr w:rsidR="00FA5DBD" w:rsidRPr="00FA5DBD" w:rsidTr="008629BE">
        <w:trPr>
          <w:trHeight w:val="432"/>
        </w:trPr>
        <w:tc>
          <w:tcPr>
            <w:tcW w:w="340" w:type="pct"/>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FA5DBD" w:rsidRPr="00FA5DBD" w:rsidRDefault="00FA5DBD" w:rsidP="00FA5DBD">
            <w:pPr>
              <w:spacing w:after="0" w:line="240" w:lineRule="auto"/>
              <w:rPr>
                <w:rFonts w:ascii="Arial" w:eastAsia="Times New Roman" w:hAnsi="Arial" w:cs="Arial"/>
                <w:color w:val="000000"/>
                <w:sz w:val="18"/>
                <w:szCs w:val="18"/>
              </w:rPr>
            </w:pPr>
          </w:p>
        </w:tc>
        <w:tc>
          <w:tcPr>
            <w:tcW w:w="75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Other</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11.1</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10.2</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10.2</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9.2</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8.5</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7.4</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7.1</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7.2</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7.3</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8.9</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8.9</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11.1</w:t>
            </w:r>
          </w:p>
        </w:tc>
      </w:tr>
      <w:tr w:rsidR="00FA5DBD" w:rsidRPr="00FA5DBD" w:rsidTr="008629BE">
        <w:trPr>
          <w:trHeight w:val="432"/>
        </w:trPr>
        <w:tc>
          <w:tcPr>
            <w:tcW w:w="340" w:type="pct"/>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FA5DBD" w:rsidRPr="00FA5DBD" w:rsidRDefault="00FA5DBD" w:rsidP="00FA5DBD">
            <w:pPr>
              <w:spacing w:after="0" w:line="240" w:lineRule="auto"/>
              <w:rPr>
                <w:rFonts w:ascii="Arial" w:eastAsia="Times New Roman" w:hAnsi="Arial" w:cs="Arial"/>
                <w:color w:val="000000"/>
                <w:sz w:val="18"/>
                <w:szCs w:val="18"/>
              </w:rPr>
            </w:pPr>
          </w:p>
        </w:tc>
        <w:tc>
          <w:tcPr>
            <w:tcW w:w="75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All Customers</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12.0</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11.4</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11.4</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10.9</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10.3</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9.7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9.5</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9.6</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9.6</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10.6</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10.6</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12.1</w:t>
            </w:r>
          </w:p>
        </w:tc>
      </w:tr>
      <w:tr w:rsidR="00FA5DBD" w:rsidRPr="00FA5DBD" w:rsidTr="008629BE">
        <w:trPr>
          <w:trHeight w:val="432"/>
        </w:trPr>
        <w:tc>
          <w:tcPr>
            <w:tcW w:w="340" w:type="pct"/>
            <w:vMerge w:val="restart"/>
            <w:tcBorders>
              <w:top w:val="nil"/>
              <w:left w:val="single" w:sz="4" w:space="0" w:color="auto"/>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1-in-2</w:t>
            </w:r>
          </w:p>
        </w:tc>
        <w:tc>
          <w:tcPr>
            <w:tcW w:w="75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South of Lugo</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15.5</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14.2</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15.5</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15.4</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15.6</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15.5</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15.5</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15.5</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15.7</w:t>
            </w:r>
          </w:p>
        </w:tc>
      </w:tr>
      <w:tr w:rsidR="00FA5DBD" w:rsidRPr="00FA5DBD" w:rsidTr="008629BE">
        <w:trPr>
          <w:trHeight w:val="432"/>
        </w:trPr>
        <w:tc>
          <w:tcPr>
            <w:tcW w:w="340"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FA5DBD" w:rsidRPr="00FA5DBD" w:rsidRDefault="00FA5DBD" w:rsidP="00FA5DBD">
            <w:pPr>
              <w:spacing w:after="0" w:line="240" w:lineRule="auto"/>
              <w:rPr>
                <w:rFonts w:ascii="Arial" w:eastAsia="Times New Roman" w:hAnsi="Arial" w:cs="Arial"/>
                <w:color w:val="000000"/>
                <w:sz w:val="18"/>
                <w:szCs w:val="18"/>
              </w:rPr>
            </w:pPr>
          </w:p>
        </w:tc>
        <w:tc>
          <w:tcPr>
            <w:tcW w:w="75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S. Orange County</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6.2</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6.2</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6.3</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5.6</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6.0</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6.0</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5.8</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5.7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5.7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5.7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6.1</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6.3</w:t>
            </w:r>
          </w:p>
        </w:tc>
      </w:tr>
      <w:tr w:rsidR="00FA5DBD" w:rsidRPr="00FA5DBD" w:rsidTr="008629BE">
        <w:trPr>
          <w:trHeight w:val="432"/>
        </w:trPr>
        <w:tc>
          <w:tcPr>
            <w:tcW w:w="340"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FA5DBD" w:rsidRPr="00FA5DBD" w:rsidRDefault="00FA5DBD" w:rsidP="00FA5DBD">
            <w:pPr>
              <w:spacing w:after="0" w:line="240" w:lineRule="auto"/>
              <w:rPr>
                <w:rFonts w:ascii="Arial" w:eastAsia="Times New Roman" w:hAnsi="Arial" w:cs="Arial"/>
                <w:color w:val="000000"/>
                <w:sz w:val="18"/>
                <w:szCs w:val="18"/>
              </w:rPr>
            </w:pPr>
          </w:p>
        </w:tc>
        <w:tc>
          <w:tcPr>
            <w:tcW w:w="75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Other</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11.1</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10.6</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11.0</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10.7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9.4</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9.1</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8.0</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8.1</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7.9</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8.8</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10.5</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color w:val="000000"/>
                <w:sz w:val="18"/>
                <w:szCs w:val="18"/>
              </w:rPr>
            </w:pPr>
            <w:r w:rsidRPr="00FA5DBD">
              <w:rPr>
                <w:rFonts w:ascii="Arial" w:eastAsia="Times New Roman" w:hAnsi="Arial" w:cs="Arial"/>
                <w:color w:val="000000"/>
                <w:sz w:val="18"/>
                <w:szCs w:val="18"/>
              </w:rPr>
              <w:t>11.1</w:t>
            </w:r>
          </w:p>
        </w:tc>
      </w:tr>
      <w:tr w:rsidR="00FA5DBD" w:rsidRPr="00FA5DBD" w:rsidTr="008629BE">
        <w:trPr>
          <w:trHeight w:val="432"/>
        </w:trPr>
        <w:tc>
          <w:tcPr>
            <w:tcW w:w="340" w:type="pct"/>
            <w:vMerge/>
            <w:tcBorders>
              <w:top w:val="nil"/>
              <w:left w:val="single" w:sz="4" w:space="0" w:color="auto"/>
              <w:bottom w:val="single" w:sz="4" w:space="0" w:color="auto"/>
              <w:right w:val="single" w:sz="4" w:space="0" w:color="auto"/>
            </w:tcBorders>
            <w:tcMar>
              <w:left w:w="29" w:type="dxa"/>
              <w:right w:w="29" w:type="dxa"/>
            </w:tcMar>
            <w:vAlign w:val="center"/>
            <w:hideMark/>
          </w:tcPr>
          <w:p w:rsidR="00FA5DBD" w:rsidRPr="00FA5DBD" w:rsidRDefault="00FA5DBD" w:rsidP="00FA5DBD">
            <w:pPr>
              <w:spacing w:after="0" w:line="240" w:lineRule="auto"/>
              <w:rPr>
                <w:rFonts w:ascii="Arial" w:eastAsia="Times New Roman" w:hAnsi="Arial" w:cs="Arial"/>
                <w:color w:val="000000"/>
                <w:sz w:val="18"/>
                <w:szCs w:val="18"/>
              </w:rPr>
            </w:pPr>
          </w:p>
        </w:tc>
        <w:tc>
          <w:tcPr>
            <w:tcW w:w="751"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All Customers</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12.0</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11.7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12.0</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11.3</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10.9</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10.7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10.1</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10.2</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10.0</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10.6</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11.7</w:t>
            </w:r>
          </w:p>
        </w:tc>
        <w:tc>
          <w:tcPr>
            <w:tcW w:w="326" w:type="pct"/>
            <w:tcBorders>
              <w:top w:val="nil"/>
              <w:left w:val="nil"/>
              <w:bottom w:val="single" w:sz="4" w:space="0" w:color="auto"/>
              <w:right w:val="single" w:sz="4" w:space="0" w:color="auto"/>
            </w:tcBorders>
            <w:shd w:val="clear" w:color="auto" w:fill="auto"/>
            <w:noWrap/>
            <w:tcMar>
              <w:left w:w="29" w:type="dxa"/>
              <w:right w:w="29" w:type="dxa"/>
            </w:tcMar>
            <w:vAlign w:val="center"/>
            <w:hideMark/>
          </w:tcPr>
          <w:p w:rsidR="00FA5DBD" w:rsidRPr="00FA5DBD" w:rsidRDefault="00FA5DBD" w:rsidP="00FA5DBD">
            <w:pPr>
              <w:spacing w:after="0" w:line="240" w:lineRule="auto"/>
              <w:jc w:val="center"/>
              <w:rPr>
                <w:rFonts w:ascii="Arial" w:eastAsia="Times New Roman" w:hAnsi="Arial" w:cs="Arial"/>
                <w:b/>
                <w:bCs/>
                <w:color w:val="000000"/>
                <w:sz w:val="18"/>
                <w:szCs w:val="18"/>
              </w:rPr>
            </w:pPr>
            <w:r w:rsidRPr="00FA5DBD">
              <w:rPr>
                <w:rFonts w:ascii="Arial" w:eastAsia="Times New Roman" w:hAnsi="Arial" w:cs="Arial"/>
                <w:b/>
                <w:bCs/>
                <w:color w:val="000000"/>
                <w:sz w:val="18"/>
                <w:szCs w:val="18"/>
              </w:rPr>
              <w:t>12.1</w:t>
            </w:r>
          </w:p>
        </w:tc>
      </w:tr>
    </w:tbl>
    <w:p w:rsidR="00E640AA" w:rsidRDefault="00E640AA" w:rsidP="00E640AA">
      <w:pPr>
        <w:pStyle w:val="TableFigureCaption"/>
        <w:spacing w:before="360"/>
        <w:contextualSpacing/>
      </w:pPr>
    </w:p>
    <w:p w:rsidR="00E640AA" w:rsidRDefault="00E640AA" w:rsidP="00E640AA">
      <w:pPr>
        <w:pStyle w:val="BodyParaAfterTableFigure"/>
        <w:rPr>
          <w:rFonts w:ascii="Arial" w:hAnsi="Arial"/>
          <w:sz w:val="20"/>
        </w:rPr>
      </w:pPr>
      <w:r>
        <w:br w:type="page"/>
      </w:r>
    </w:p>
    <w:p w:rsidR="00873318" w:rsidRDefault="00873318" w:rsidP="00E640AA">
      <w:pPr>
        <w:pStyle w:val="TableFigureCaption"/>
        <w:spacing w:before="360"/>
        <w:contextualSpacing/>
      </w:pPr>
      <w:r>
        <w:lastRenderedPageBreak/>
        <w:t>Table 8-6:</w:t>
      </w:r>
      <w:r w:rsidR="00626371">
        <w:t xml:space="preserve"> </w:t>
      </w:r>
      <w:r w:rsidR="00EC488A">
        <w:t xml:space="preserve">SCE August System Peak Day </w:t>
      </w:r>
      <w:r w:rsidR="008629BE">
        <w:t xml:space="preserve">Aggregate </w:t>
      </w:r>
      <w:r w:rsidR="00EC488A">
        <w:t>Impacts by Transmission Area</w:t>
      </w:r>
    </w:p>
    <w:tbl>
      <w:tblPr>
        <w:tblW w:w="999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800"/>
        <w:gridCol w:w="1336"/>
        <w:gridCol w:w="1184"/>
        <w:gridCol w:w="1209"/>
        <w:gridCol w:w="861"/>
        <w:gridCol w:w="1260"/>
        <w:gridCol w:w="1170"/>
      </w:tblGrid>
      <w:tr w:rsidR="00873318" w:rsidRPr="00EC488A" w:rsidTr="007E27F3">
        <w:trPr>
          <w:trHeight w:val="854"/>
        </w:trPr>
        <w:tc>
          <w:tcPr>
            <w:tcW w:w="1170" w:type="dxa"/>
            <w:vMerge w:val="restart"/>
            <w:tcBorders>
              <w:right w:val="single" w:sz="4" w:space="0" w:color="FFFFFF" w:themeColor="background1"/>
            </w:tcBorders>
            <w:shd w:val="clear" w:color="000000" w:fill="1F497D"/>
            <w:vAlign w:val="center"/>
            <w:hideMark/>
          </w:tcPr>
          <w:p w:rsidR="00873318" w:rsidRPr="00EC488A" w:rsidRDefault="00873318" w:rsidP="00873318">
            <w:pPr>
              <w:spacing w:after="0" w:line="240" w:lineRule="auto"/>
              <w:jc w:val="center"/>
              <w:rPr>
                <w:rFonts w:ascii="Arial" w:eastAsia="Times New Roman" w:hAnsi="Arial" w:cs="Arial"/>
                <w:b/>
                <w:bCs/>
                <w:color w:val="FFFFFF"/>
                <w:sz w:val="18"/>
                <w:szCs w:val="18"/>
              </w:rPr>
            </w:pPr>
            <w:r w:rsidRPr="00EC488A">
              <w:rPr>
                <w:rFonts w:ascii="Arial" w:eastAsia="Times New Roman" w:hAnsi="Arial" w:cs="Arial"/>
                <w:b/>
                <w:bCs/>
                <w:color w:val="FFFFFF"/>
                <w:sz w:val="18"/>
                <w:szCs w:val="18"/>
              </w:rPr>
              <w:t>Weather Year</w:t>
            </w:r>
          </w:p>
        </w:tc>
        <w:tc>
          <w:tcPr>
            <w:tcW w:w="1800" w:type="dxa"/>
            <w:vMerge w:val="restart"/>
            <w:tcBorders>
              <w:left w:val="single" w:sz="4" w:space="0" w:color="FFFFFF" w:themeColor="background1"/>
              <w:right w:val="single" w:sz="4" w:space="0" w:color="FFFFFF" w:themeColor="background1"/>
            </w:tcBorders>
            <w:shd w:val="clear" w:color="000000" w:fill="1F497D"/>
            <w:vAlign w:val="center"/>
            <w:hideMark/>
          </w:tcPr>
          <w:p w:rsidR="00873318" w:rsidRPr="00EC488A" w:rsidRDefault="00EC488A" w:rsidP="00873318">
            <w:pPr>
              <w:spacing w:after="0" w:line="240" w:lineRule="auto"/>
              <w:jc w:val="center"/>
              <w:rPr>
                <w:rFonts w:ascii="Arial" w:eastAsia="Times New Roman" w:hAnsi="Arial" w:cs="Arial"/>
                <w:b/>
                <w:bCs/>
                <w:color w:val="FFFFFF"/>
                <w:sz w:val="18"/>
                <w:szCs w:val="18"/>
              </w:rPr>
            </w:pPr>
            <w:r w:rsidRPr="00EC488A">
              <w:rPr>
                <w:rFonts w:ascii="Arial" w:eastAsia="Times New Roman" w:hAnsi="Arial" w:cs="Arial"/>
                <w:b/>
                <w:bCs/>
                <w:color w:val="FFFFFF"/>
                <w:sz w:val="18"/>
                <w:szCs w:val="18"/>
              </w:rPr>
              <w:t>Area</w:t>
            </w:r>
          </w:p>
        </w:tc>
        <w:tc>
          <w:tcPr>
            <w:tcW w:w="1336" w:type="dxa"/>
            <w:vMerge w:val="restart"/>
            <w:tcBorders>
              <w:left w:val="single" w:sz="4" w:space="0" w:color="FFFFFF" w:themeColor="background1"/>
              <w:right w:val="single" w:sz="4" w:space="0" w:color="FFFFFF" w:themeColor="background1"/>
            </w:tcBorders>
            <w:shd w:val="clear" w:color="000000" w:fill="1F497D"/>
            <w:vAlign w:val="center"/>
            <w:hideMark/>
          </w:tcPr>
          <w:p w:rsidR="00873318" w:rsidRPr="00EC488A" w:rsidRDefault="00873318" w:rsidP="00873318">
            <w:pPr>
              <w:spacing w:after="0" w:line="240" w:lineRule="auto"/>
              <w:jc w:val="center"/>
              <w:rPr>
                <w:rFonts w:ascii="Arial" w:eastAsia="Times New Roman" w:hAnsi="Arial" w:cs="Arial"/>
                <w:b/>
                <w:bCs/>
                <w:color w:val="FFFFFF"/>
                <w:sz w:val="18"/>
                <w:szCs w:val="18"/>
              </w:rPr>
            </w:pPr>
            <w:r w:rsidRPr="00EC488A">
              <w:rPr>
                <w:rFonts w:ascii="Arial" w:eastAsia="Times New Roman" w:hAnsi="Arial" w:cs="Arial"/>
                <w:b/>
                <w:bCs/>
                <w:color w:val="FFFFFF"/>
                <w:sz w:val="18"/>
                <w:szCs w:val="18"/>
              </w:rPr>
              <w:t>Forecasted Enrolled Accounts</w:t>
            </w:r>
          </w:p>
        </w:tc>
        <w:tc>
          <w:tcPr>
            <w:tcW w:w="1184" w:type="dxa"/>
            <w:tcBorders>
              <w:left w:val="single" w:sz="4" w:space="0" w:color="FFFFFF" w:themeColor="background1"/>
              <w:bottom w:val="single" w:sz="4" w:space="0" w:color="FFFFFF" w:themeColor="background1"/>
              <w:right w:val="single" w:sz="4" w:space="0" w:color="FFFFFF" w:themeColor="background1"/>
            </w:tcBorders>
            <w:shd w:val="clear" w:color="000000" w:fill="1F497D"/>
            <w:vAlign w:val="center"/>
            <w:hideMark/>
          </w:tcPr>
          <w:p w:rsidR="00873318" w:rsidRPr="00EC488A" w:rsidRDefault="00873318" w:rsidP="007E27F3">
            <w:pPr>
              <w:spacing w:after="0" w:line="240" w:lineRule="auto"/>
              <w:jc w:val="center"/>
              <w:rPr>
                <w:rFonts w:ascii="Arial" w:eastAsia="Times New Roman" w:hAnsi="Arial" w:cs="Arial"/>
                <w:b/>
                <w:bCs/>
                <w:color w:val="FFFFFF"/>
                <w:sz w:val="18"/>
                <w:szCs w:val="18"/>
              </w:rPr>
            </w:pPr>
            <w:r w:rsidRPr="00EC488A">
              <w:rPr>
                <w:rFonts w:ascii="Arial" w:eastAsia="Times New Roman" w:hAnsi="Arial" w:cs="Arial"/>
                <w:b/>
                <w:bCs/>
                <w:color w:val="FFFFFF"/>
                <w:sz w:val="18"/>
                <w:szCs w:val="18"/>
              </w:rPr>
              <w:t xml:space="preserve">Reference Load </w:t>
            </w:r>
          </w:p>
        </w:tc>
        <w:tc>
          <w:tcPr>
            <w:tcW w:w="1209" w:type="dxa"/>
            <w:tcBorders>
              <w:left w:val="single" w:sz="4" w:space="0" w:color="FFFFFF" w:themeColor="background1"/>
              <w:bottom w:val="single" w:sz="4" w:space="0" w:color="FFFFFF" w:themeColor="background1"/>
              <w:right w:val="single" w:sz="4" w:space="0" w:color="FFFFFF" w:themeColor="background1"/>
            </w:tcBorders>
            <w:shd w:val="clear" w:color="000000" w:fill="1F497D"/>
            <w:vAlign w:val="center"/>
            <w:hideMark/>
          </w:tcPr>
          <w:p w:rsidR="00873318" w:rsidRPr="00EC488A" w:rsidRDefault="00873318" w:rsidP="007E27F3">
            <w:pPr>
              <w:spacing w:after="0" w:line="240" w:lineRule="auto"/>
              <w:jc w:val="center"/>
              <w:rPr>
                <w:rFonts w:ascii="Arial" w:eastAsia="Times New Roman" w:hAnsi="Arial" w:cs="Arial"/>
                <w:b/>
                <w:bCs/>
                <w:color w:val="FFFFFF"/>
                <w:sz w:val="18"/>
                <w:szCs w:val="18"/>
              </w:rPr>
            </w:pPr>
            <w:r w:rsidRPr="00EC488A">
              <w:rPr>
                <w:rFonts w:ascii="Arial" w:eastAsia="Times New Roman" w:hAnsi="Arial" w:cs="Arial"/>
                <w:b/>
                <w:bCs/>
                <w:color w:val="FFFFFF"/>
                <w:sz w:val="18"/>
                <w:szCs w:val="18"/>
              </w:rPr>
              <w:t xml:space="preserve">Estimated Load with DR </w:t>
            </w:r>
          </w:p>
        </w:tc>
        <w:tc>
          <w:tcPr>
            <w:tcW w:w="861" w:type="dxa"/>
            <w:tcBorders>
              <w:left w:val="single" w:sz="4" w:space="0" w:color="FFFFFF" w:themeColor="background1"/>
              <w:bottom w:val="single" w:sz="4" w:space="0" w:color="FFFFFF" w:themeColor="background1"/>
              <w:right w:val="single" w:sz="4" w:space="0" w:color="FFFFFF" w:themeColor="background1"/>
            </w:tcBorders>
            <w:shd w:val="clear" w:color="000000" w:fill="1F497D"/>
            <w:vAlign w:val="center"/>
            <w:hideMark/>
          </w:tcPr>
          <w:p w:rsidR="00873318" w:rsidRPr="00EC488A" w:rsidRDefault="00873318" w:rsidP="007E27F3">
            <w:pPr>
              <w:spacing w:after="0" w:line="240" w:lineRule="auto"/>
              <w:jc w:val="center"/>
              <w:rPr>
                <w:rFonts w:ascii="Arial" w:eastAsia="Times New Roman" w:hAnsi="Arial" w:cs="Arial"/>
                <w:b/>
                <w:bCs/>
                <w:color w:val="FFFFFF"/>
                <w:sz w:val="18"/>
                <w:szCs w:val="18"/>
              </w:rPr>
            </w:pPr>
            <w:r w:rsidRPr="00EC488A">
              <w:rPr>
                <w:rFonts w:ascii="Arial" w:eastAsia="Times New Roman" w:hAnsi="Arial" w:cs="Arial"/>
                <w:b/>
                <w:bCs/>
                <w:color w:val="FFFFFF"/>
                <w:sz w:val="18"/>
                <w:szCs w:val="18"/>
              </w:rPr>
              <w:t xml:space="preserve">Load Impact </w:t>
            </w:r>
          </w:p>
        </w:tc>
        <w:tc>
          <w:tcPr>
            <w:tcW w:w="1260" w:type="dxa"/>
            <w:tcBorders>
              <w:left w:val="single" w:sz="4" w:space="0" w:color="FFFFFF" w:themeColor="background1"/>
              <w:bottom w:val="single" w:sz="4" w:space="0" w:color="FFFFFF" w:themeColor="background1"/>
              <w:right w:val="single" w:sz="4" w:space="0" w:color="FFFFFF" w:themeColor="background1"/>
            </w:tcBorders>
            <w:shd w:val="clear" w:color="000000" w:fill="1F497D"/>
            <w:vAlign w:val="center"/>
            <w:hideMark/>
          </w:tcPr>
          <w:p w:rsidR="00873318" w:rsidRPr="00EC488A" w:rsidRDefault="00873318" w:rsidP="00873318">
            <w:pPr>
              <w:spacing w:after="0" w:line="240" w:lineRule="auto"/>
              <w:jc w:val="center"/>
              <w:rPr>
                <w:rFonts w:ascii="Arial" w:eastAsia="Times New Roman" w:hAnsi="Arial" w:cs="Arial"/>
                <w:b/>
                <w:bCs/>
                <w:color w:val="FFFFFF"/>
                <w:sz w:val="18"/>
                <w:szCs w:val="18"/>
              </w:rPr>
            </w:pPr>
            <w:r w:rsidRPr="00EC488A">
              <w:rPr>
                <w:rFonts w:ascii="Arial" w:eastAsia="Times New Roman" w:hAnsi="Arial" w:cs="Arial"/>
                <w:b/>
                <w:bCs/>
                <w:color w:val="FFFFFF"/>
                <w:sz w:val="18"/>
                <w:szCs w:val="18"/>
              </w:rPr>
              <w:t>% Load Reduction</w:t>
            </w:r>
          </w:p>
        </w:tc>
        <w:tc>
          <w:tcPr>
            <w:tcW w:w="1170" w:type="dxa"/>
            <w:tcBorders>
              <w:left w:val="single" w:sz="4" w:space="0" w:color="FFFFFF" w:themeColor="background1"/>
              <w:bottom w:val="single" w:sz="4" w:space="0" w:color="FFFFFF" w:themeColor="background1"/>
            </w:tcBorders>
            <w:shd w:val="clear" w:color="000000" w:fill="1F497D"/>
            <w:vAlign w:val="center"/>
            <w:hideMark/>
          </w:tcPr>
          <w:p w:rsidR="00873318" w:rsidRPr="00EC488A" w:rsidRDefault="00873318" w:rsidP="00873318">
            <w:pPr>
              <w:spacing w:after="0" w:line="240" w:lineRule="auto"/>
              <w:jc w:val="center"/>
              <w:rPr>
                <w:rFonts w:ascii="Arial" w:eastAsia="Times New Roman" w:hAnsi="Arial" w:cs="Arial"/>
                <w:b/>
                <w:bCs/>
                <w:color w:val="FFFFFF"/>
                <w:sz w:val="18"/>
                <w:szCs w:val="18"/>
              </w:rPr>
            </w:pPr>
            <w:r w:rsidRPr="00EC488A">
              <w:rPr>
                <w:rFonts w:ascii="Arial" w:eastAsia="Times New Roman" w:hAnsi="Arial" w:cs="Arial"/>
                <w:b/>
                <w:bCs/>
                <w:color w:val="FFFFFF"/>
                <w:sz w:val="18"/>
                <w:szCs w:val="18"/>
              </w:rPr>
              <w:t>Weighted Temp</w:t>
            </w:r>
          </w:p>
        </w:tc>
      </w:tr>
      <w:tr w:rsidR="00873318" w:rsidRPr="00EC488A" w:rsidTr="007E27F3">
        <w:trPr>
          <w:trHeight w:val="60"/>
        </w:trPr>
        <w:tc>
          <w:tcPr>
            <w:tcW w:w="1170" w:type="dxa"/>
            <w:vMerge/>
            <w:tcBorders>
              <w:right w:val="single" w:sz="4" w:space="0" w:color="FFFFFF" w:themeColor="background1"/>
            </w:tcBorders>
            <w:vAlign w:val="center"/>
            <w:hideMark/>
          </w:tcPr>
          <w:p w:rsidR="00873318" w:rsidRPr="00EC488A" w:rsidRDefault="00873318" w:rsidP="00873318">
            <w:pPr>
              <w:spacing w:after="0" w:line="240" w:lineRule="auto"/>
              <w:jc w:val="center"/>
              <w:rPr>
                <w:rFonts w:ascii="Arial" w:eastAsia="Times New Roman" w:hAnsi="Arial" w:cs="Arial"/>
                <w:b/>
                <w:bCs/>
                <w:color w:val="FFFFFF"/>
                <w:sz w:val="18"/>
                <w:szCs w:val="18"/>
              </w:rPr>
            </w:pPr>
          </w:p>
        </w:tc>
        <w:tc>
          <w:tcPr>
            <w:tcW w:w="1800" w:type="dxa"/>
            <w:vMerge/>
            <w:tcBorders>
              <w:left w:val="single" w:sz="4" w:space="0" w:color="FFFFFF" w:themeColor="background1"/>
              <w:right w:val="single" w:sz="4" w:space="0" w:color="FFFFFF" w:themeColor="background1"/>
            </w:tcBorders>
            <w:vAlign w:val="center"/>
            <w:hideMark/>
          </w:tcPr>
          <w:p w:rsidR="00873318" w:rsidRPr="00EC488A" w:rsidRDefault="00873318" w:rsidP="00873318">
            <w:pPr>
              <w:spacing w:after="0" w:line="240" w:lineRule="auto"/>
              <w:jc w:val="center"/>
              <w:rPr>
                <w:rFonts w:ascii="Arial" w:eastAsia="Times New Roman" w:hAnsi="Arial" w:cs="Arial"/>
                <w:b/>
                <w:bCs/>
                <w:color w:val="FFFFFF"/>
                <w:sz w:val="18"/>
                <w:szCs w:val="18"/>
              </w:rPr>
            </w:pPr>
          </w:p>
        </w:tc>
        <w:tc>
          <w:tcPr>
            <w:tcW w:w="1336" w:type="dxa"/>
            <w:vMerge/>
            <w:tcBorders>
              <w:left w:val="single" w:sz="4" w:space="0" w:color="FFFFFF" w:themeColor="background1"/>
              <w:right w:val="single" w:sz="4" w:space="0" w:color="FFFFFF" w:themeColor="background1"/>
            </w:tcBorders>
            <w:vAlign w:val="center"/>
            <w:hideMark/>
          </w:tcPr>
          <w:p w:rsidR="00873318" w:rsidRPr="00EC488A" w:rsidRDefault="00873318" w:rsidP="00873318">
            <w:pPr>
              <w:spacing w:after="0" w:line="240" w:lineRule="auto"/>
              <w:jc w:val="center"/>
              <w:rPr>
                <w:rFonts w:ascii="Arial" w:eastAsia="Times New Roman" w:hAnsi="Arial" w:cs="Arial"/>
                <w:b/>
                <w:bCs/>
                <w:color w:val="FFFFFF"/>
                <w:sz w:val="18"/>
                <w:szCs w:val="18"/>
              </w:rPr>
            </w:pPr>
          </w:p>
        </w:tc>
        <w:tc>
          <w:tcPr>
            <w:tcW w:w="1184"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873318" w:rsidRPr="00EC488A" w:rsidRDefault="007E27F3" w:rsidP="007E27F3">
            <w:pPr>
              <w:spacing w:after="0" w:line="240" w:lineRule="auto"/>
              <w:jc w:val="center"/>
              <w:rPr>
                <w:rFonts w:ascii="Arial" w:eastAsia="Times New Roman" w:hAnsi="Arial" w:cs="Arial"/>
                <w:b/>
                <w:bCs/>
                <w:color w:val="FFFFFF"/>
                <w:sz w:val="18"/>
                <w:szCs w:val="18"/>
              </w:rPr>
            </w:pPr>
            <w:r w:rsidRPr="00EC488A">
              <w:rPr>
                <w:rFonts w:ascii="Arial" w:eastAsia="Times New Roman" w:hAnsi="Arial" w:cs="Arial"/>
                <w:b/>
                <w:bCs/>
                <w:color w:val="FFFFFF"/>
                <w:sz w:val="18"/>
                <w:szCs w:val="18"/>
              </w:rPr>
              <w:t>MW</w:t>
            </w:r>
            <w:r>
              <w:rPr>
                <w:rFonts w:ascii="Arial" w:eastAsia="Times New Roman" w:hAnsi="Arial" w:cs="Arial"/>
                <w:b/>
                <w:bCs/>
                <w:color w:val="FFFFFF"/>
                <w:sz w:val="18"/>
                <w:szCs w:val="18"/>
              </w:rPr>
              <w:br/>
            </w:r>
            <w:r w:rsidR="00873318" w:rsidRPr="00EC488A">
              <w:rPr>
                <w:rFonts w:ascii="Arial" w:eastAsia="Times New Roman" w:hAnsi="Arial" w:cs="Arial"/>
                <w:b/>
                <w:bCs/>
                <w:color w:val="FFFFFF"/>
                <w:sz w:val="18"/>
                <w:szCs w:val="18"/>
              </w:rPr>
              <w:t>1</w:t>
            </w:r>
            <w:r w:rsidR="00CA470C">
              <w:rPr>
                <w:rFonts w:ascii="Arial" w:eastAsia="Times New Roman" w:hAnsi="Arial" w:cs="Arial"/>
                <w:b/>
                <w:bCs/>
                <w:color w:val="FFFFFF"/>
                <w:sz w:val="18"/>
                <w:szCs w:val="18"/>
              </w:rPr>
              <w:t>–</w:t>
            </w:r>
            <w:r w:rsidR="00873318" w:rsidRPr="00EC488A">
              <w:rPr>
                <w:rFonts w:ascii="Arial" w:eastAsia="Times New Roman" w:hAnsi="Arial" w:cs="Arial"/>
                <w:b/>
                <w:bCs/>
                <w:color w:val="FFFFFF"/>
                <w:sz w:val="18"/>
                <w:szCs w:val="18"/>
              </w:rPr>
              <w:t>6 PM</w:t>
            </w:r>
          </w:p>
        </w:tc>
        <w:tc>
          <w:tcPr>
            <w:tcW w:w="1209"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873318" w:rsidRPr="00EC488A" w:rsidRDefault="007E27F3" w:rsidP="007E27F3">
            <w:pPr>
              <w:spacing w:after="0" w:line="240" w:lineRule="auto"/>
              <w:jc w:val="center"/>
              <w:rPr>
                <w:rFonts w:ascii="Arial" w:eastAsia="Times New Roman" w:hAnsi="Arial" w:cs="Arial"/>
                <w:b/>
                <w:bCs/>
                <w:color w:val="FFFFFF"/>
                <w:sz w:val="18"/>
                <w:szCs w:val="18"/>
              </w:rPr>
            </w:pPr>
            <w:r w:rsidRPr="00EC488A">
              <w:rPr>
                <w:rFonts w:ascii="Arial" w:eastAsia="Times New Roman" w:hAnsi="Arial" w:cs="Arial"/>
                <w:b/>
                <w:bCs/>
                <w:color w:val="FFFFFF"/>
                <w:sz w:val="18"/>
                <w:szCs w:val="18"/>
              </w:rPr>
              <w:t>MW</w:t>
            </w:r>
            <w:r>
              <w:rPr>
                <w:rFonts w:ascii="Arial" w:eastAsia="Times New Roman" w:hAnsi="Arial" w:cs="Arial"/>
                <w:b/>
                <w:bCs/>
                <w:color w:val="FFFFFF"/>
                <w:sz w:val="18"/>
                <w:szCs w:val="18"/>
              </w:rPr>
              <w:br/>
            </w:r>
            <w:r w:rsidR="00873318" w:rsidRPr="00EC488A">
              <w:rPr>
                <w:rFonts w:ascii="Arial" w:eastAsia="Times New Roman" w:hAnsi="Arial" w:cs="Arial"/>
                <w:b/>
                <w:bCs/>
                <w:color w:val="FFFFFF"/>
                <w:sz w:val="18"/>
                <w:szCs w:val="18"/>
              </w:rPr>
              <w:t>1</w:t>
            </w:r>
            <w:r w:rsidR="00CA470C">
              <w:rPr>
                <w:rFonts w:ascii="Arial" w:eastAsia="Times New Roman" w:hAnsi="Arial" w:cs="Arial"/>
                <w:b/>
                <w:bCs/>
                <w:color w:val="FFFFFF"/>
                <w:sz w:val="18"/>
                <w:szCs w:val="18"/>
              </w:rPr>
              <w:t>–</w:t>
            </w:r>
            <w:r w:rsidR="00873318" w:rsidRPr="00EC488A">
              <w:rPr>
                <w:rFonts w:ascii="Arial" w:eastAsia="Times New Roman" w:hAnsi="Arial" w:cs="Arial"/>
                <w:b/>
                <w:bCs/>
                <w:color w:val="FFFFFF"/>
                <w:sz w:val="18"/>
                <w:szCs w:val="18"/>
              </w:rPr>
              <w:t>6 PM</w:t>
            </w:r>
          </w:p>
        </w:tc>
        <w:tc>
          <w:tcPr>
            <w:tcW w:w="861"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873318" w:rsidRPr="00EC488A" w:rsidRDefault="007E27F3" w:rsidP="007E27F3">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MW</w:t>
            </w:r>
            <w:r>
              <w:rPr>
                <w:rFonts w:ascii="Arial" w:eastAsia="Times New Roman" w:hAnsi="Arial" w:cs="Arial"/>
                <w:b/>
                <w:bCs/>
                <w:color w:val="FFFFFF"/>
                <w:sz w:val="18"/>
                <w:szCs w:val="18"/>
              </w:rPr>
              <w:br/>
            </w:r>
            <w:r w:rsidR="00873318" w:rsidRPr="00EC488A">
              <w:rPr>
                <w:rFonts w:ascii="Arial" w:eastAsia="Times New Roman" w:hAnsi="Arial" w:cs="Arial"/>
                <w:b/>
                <w:bCs/>
                <w:color w:val="FFFFFF"/>
                <w:sz w:val="18"/>
                <w:szCs w:val="18"/>
              </w:rPr>
              <w:t>1</w:t>
            </w:r>
            <w:r w:rsidR="00CA470C">
              <w:rPr>
                <w:rFonts w:ascii="Arial" w:eastAsia="Times New Roman" w:hAnsi="Arial" w:cs="Arial"/>
                <w:b/>
                <w:bCs/>
                <w:color w:val="FFFFFF"/>
                <w:sz w:val="18"/>
                <w:szCs w:val="18"/>
              </w:rPr>
              <w:t>–</w:t>
            </w:r>
            <w:r w:rsidR="00873318" w:rsidRPr="00EC488A">
              <w:rPr>
                <w:rFonts w:ascii="Arial" w:eastAsia="Times New Roman" w:hAnsi="Arial" w:cs="Arial"/>
                <w:b/>
                <w:bCs/>
                <w:color w:val="FFFFFF"/>
                <w:sz w:val="18"/>
                <w:szCs w:val="18"/>
              </w:rPr>
              <w:t>6 PM</w:t>
            </w:r>
          </w:p>
        </w:tc>
        <w:tc>
          <w:tcPr>
            <w:tcW w:w="126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873318" w:rsidRPr="00EC488A" w:rsidRDefault="007E27F3" w:rsidP="007E27F3">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MW</w:t>
            </w:r>
            <w:r>
              <w:rPr>
                <w:rFonts w:ascii="Arial" w:eastAsia="Times New Roman" w:hAnsi="Arial" w:cs="Arial"/>
                <w:b/>
                <w:bCs/>
                <w:color w:val="FFFFFF"/>
                <w:sz w:val="18"/>
                <w:szCs w:val="18"/>
              </w:rPr>
              <w:br/>
            </w:r>
            <w:r w:rsidR="00873318" w:rsidRPr="00EC488A">
              <w:rPr>
                <w:rFonts w:ascii="Arial" w:eastAsia="Times New Roman" w:hAnsi="Arial" w:cs="Arial"/>
                <w:b/>
                <w:bCs/>
                <w:color w:val="FFFFFF"/>
                <w:sz w:val="18"/>
                <w:szCs w:val="18"/>
              </w:rPr>
              <w:t>1</w:t>
            </w:r>
            <w:r w:rsidR="00CA470C">
              <w:rPr>
                <w:rFonts w:ascii="Arial" w:eastAsia="Times New Roman" w:hAnsi="Arial" w:cs="Arial"/>
                <w:b/>
                <w:bCs/>
                <w:color w:val="FFFFFF"/>
                <w:sz w:val="18"/>
                <w:szCs w:val="18"/>
              </w:rPr>
              <w:t>–</w:t>
            </w:r>
            <w:r w:rsidR="00873318" w:rsidRPr="00EC488A">
              <w:rPr>
                <w:rFonts w:ascii="Arial" w:eastAsia="Times New Roman" w:hAnsi="Arial" w:cs="Arial"/>
                <w:b/>
                <w:bCs/>
                <w:color w:val="FFFFFF"/>
                <w:sz w:val="18"/>
                <w:szCs w:val="18"/>
              </w:rPr>
              <w:t>6 PM</w:t>
            </w:r>
          </w:p>
        </w:tc>
        <w:tc>
          <w:tcPr>
            <w:tcW w:w="1170" w:type="dxa"/>
            <w:tcBorders>
              <w:top w:val="single" w:sz="4" w:space="0" w:color="FFFFFF" w:themeColor="background1"/>
              <w:left w:val="single" w:sz="4" w:space="0" w:color="FFFFFF" w:themeColor="background1"/>
            </w:tcBorders>
            <w:shd w:val="clear" w:color="000000" w:fill="1F497D"/>
            <w:vAlign w:val="center"/>
            <w:hideMark/>
          </w:tcPr>
          <w:p w:rsidR="00873318" w:rsidRPr="00EC488A" w:rsidRDefault="00873318" w:rsidP="00873318">
            <w:pPr>
              <w:spacing w:after="0" w:line="240" w:lineRule="auto"/>
              <w:jc w:val="center"/>
              <w:rPr>
                <w:rFonts w:ascii="Arial" w:eastAsia="Times New Roman" w:hAnsi="Arial" w:cs="Arial"/>
                <w:b/>
                <w:bCs/>
                <w:color w:val="FFFFFF"/>
                <w:sz w:val="18"/>
                <w:szCs w:val="18"/>
              </w:rPr>
            </w:pPr>
            <w:r w:rsidRPr="00EC488A">
              <w:rPr>
                <w:rFonts w:ascii="Arial" w:eastAsia="Times New Roman" w:hAnsi="Arial" w:cs="Arial"/>
                <w:b/>
                <w:bCs/>
                <w:color w:val="FFFFFF"/>
                <w:sz w:val="18"/>
                <w:szCs w:val="18"/>
              </w:rPr>
              <w:t>(°F)</w:t>
            </w:r>
          </w:p>
        </w:tc>
      </w:tr>
      <w:tr w:rsidR="00873318" w:rsidRPr="00EC488A" w:rsidTr="007E27F3">
        <w:trPr>
          <w:trHeight w:val="300"/>
        </w:trPr>
        <w:tc>
          <w:tcPr>
            <w:tcW w:w="1170" w:type="dxa"/>
            <w:vMerge w:val="restart"/>
            <w:shd w:val="clear" w:color="auto" w:fill="auto"/>
            <w:vAlign w:val="center"/>
            <w:hideMark/>
          </w:tcPr>
          <w:p w:rsidR="00873318" w:rsidRPr="00A907B2" w:rsidRDefault="00873318" w:rsidP="00A907B2">
            <w:pPr>
              <w:pStyle w:val="TableText"/>
              <w:rPr>
                <w:szCs w:val="18"/>
              </w:rPr>
            </w:pPr>
            <w:r w:rsidRPr="0087138F">
              <w:rPr>
                <w:szCs w:val="18"/>
              </w:rPr>
              <w:t>1-in-10 August System Peak Day</w:t>
            </w:r>
          </w:p>
        </w:tc>
        <w:tc>
          <w:tcPr>
            <w:tcW w:w="1800" w:type="dxa"/>
            <w:shd w:val="clear" w:color="auto" w:fill="auto"/>
            <w:noWrap/>
            <w:vAlign w:val="bottom"/>
            <w:hideMark/>
          </w:tcPr>
          <w:p w:rsidR="00873318" w:rsidRPr="00A907B2" w:rsidRDefault="00873318" w:rsidP="00A907B2">
            <w:pPr>
              <w:pStyle w:val="TableText"/>
              <w:rPr>
                <w:szCs w:val="18"/>
              </w:rPr>
            </w:pPr>
            <w:r w:rsidRPr="0087138F">
              <w:rPr>
                <w:szCs w:val="18"/>
              </w:rPr>
              <w:t>South of Lugo</w:t>
            </w:r>
          </w:p>
        </w:tc>
        <w:tc>
          <w:tcPr>
            <w:tcW w:w="1336" w:type="dxa"/>
            <w:shd w:val="clear" w:color="auto" w:fill="auto"/>
            <w:noWrap/>
            <w:vAlign w:val="bottom"/>
            <w:hideMark/>
          </w:tcPr>
          <w:p w:rsidR="00873318" w:rsidRPr="00A907B2" w:rsidRDefault="00873318" w:rsidP="00A907B2">
            <w:pPr>
              <w:pStyle w:val="TableText"/>
              <w:rPr>
                <w:szCs w:val="18"/>
              </w:rPr>
            </w:pPr>
            <w:r w:rsidRPr="0087138F">
              <w:rPr>
                <w:szCs w:val="18"/>
              </w:rPr>
              <w:t>955</w:t>
            </w:r>
          </w:p>
        </w:tc>
        <w:tc>
          <w:tcPr>
            <w:tcW w:w="1184" w:type="dxa"/>
            <w:shd w:val="clear" w:color="auto" w:fill="auto"/>
            <w:noWrap/>
            <w:vAlign w:val="bottom"/>
            <w:hideMark/>
          </w:tcPr>
          <w:p w:rsidR="00873318" w:rsidRPr="00A907B2" w:rsidRDefault="00873318" w:rsidP="00A907B2">
            <w:pPr>
              <w:pStyle w:val="TableText"/>
              <w:rPr>
                <w:szCs w:val="18"/>
              </w:rPr>
            </w:pPr>
            <w:r w:rsidRPr="0087138F">
              <w:rPr>
                <w:szCs w:val="18"/>
              </w:rPr>
              <w:t>224.7</w:t>
            </w:r>
          </w:p>
        </w:tc>
        <w:tc>
          <w:tcPr>
            <w:tcW w:w="1209" w:type="dxa"/>
            <w:shd w:val="clear" w:color="auto" w:fill="auto"/>
            <w:noWrap/>
            <w:vAlign w:val="bottom"/>
            <w:hideMark/>
          </w:tcPr>
          <w:p w:rsidR="00873318" w:rsidRPr="00A907B2" w:rsidRDefault="00873318" w:rsidP="00A907B2">
            <w:pPr>
              <w:pStyle w:val="TableText"/>
              <w:rPr>
                <w:szCs w:val="18"/>
              </w:rPr>
            </w:pPr>
            <w:r w:rsidRPr="0087138F">
              <w:rPr>
                <w:szCs w:val="18"/>
              </w:rPr>
              <w:t>209.8</w:t>
            </w:r>
          </w:p>
        </w:tc>
        <w:tc>
          <w:tcPr>
            <w:tcW w:w="861" w:type="dxa"/>
            <w:shd w:val="clear" w:color="auto" w:fill="auto"/>
            <w:noWrap/>
            <w:vAlign w:val="bottom"/>
            <w:hideMark/>
          </w:tcPr>
          <w:p w:rsidR="00873318" w:rsidRPr="00A907B2" w:rsidRDefault="00873318" w:rsidP="00A907B2">
            <w:pPr>
              <w:pStyle w:val="TableText"/>
              <w:rPr>
                <w:szCs w:val="18"/>
              </w:rPr>
            </w:pPr>
            <w:r w:rsidRPr="0087138F">
              <w:rPr>
                <w:szCs w:val="18"/>
              </w:rPr>
              <w:t>14.8</w:t>
            </w:r>
          </w:p>
        </w:tc>
        <w:tc>
          <w:tcPr>
            <w:tcW w:w="1260" w:type="dxa"/>
            <w:shd w:val="clear" w:color="auto" w:fill="auto"/>
            <w:noWrap/>
            <w:vAlign w:val="bottom"/>
            <w:hideMark/>
          </w:tcPr>
          <w:p w:rsidR="00873318" w:rsidRPr="00A907B2" w:rsidRDefault="00873318" w:rsidP="00A907B2">
            <w:pPr>
              <w:pStyle w:val="TableText"/>
              <w:rPr>
                <w:szCs w:val="18"/>
              </w:rPr>
            </w:pPr>
            <w:r w:rsidRPr="0087138F">
              <w:rPr>
                <w:szCs w:val="18"/>
              </w:rPr>
              <w:t>6.60%</w:t>
            </w:r>
          </w:p>
        </w:tc>
        <w:tc>
          <w:tcPr>
            <w:tcW w:w="1170" w:type="dxa"/>
            <w:shd w:val="clear" w:color="auto" w:fill="auto"/>
            <w:noWrap/>
            <w:vAlign w:val="bottom"/>
            <w:hideMark/>
          </w:tcPr>
          <w:p w:rsidR="00873318" w:rsidRPr="00A907B2" w:rsidRDefault="00873318" w:rsidP="00A907B2">
            <w:pPr>
              <w:pStyle w:val="TableText"/>
              <w:rPr>
                <w:szCs w:val="18"/>
              </w:rPr>
            </w:pPr>
            <w:r w:rsidRPr="0087138F">
              <w:rPr>
                <w:szCs w:val="18"/>
              </w:rPr>
              <w:t>99.3</w:t>
            </w:r>
          </w:p>
        </w:tc>
      </w:tr>
      <w:tr w:rsidR="00873318" w:rsidRPr="00EC488A" w:rsidTr="007E27F3">
        <w:trPr>
          <w:trHeight w:val="300"/>
        </w:trPr>
        <w:tc>
          <w:tcPr>
            <w:tcW w:w="1170" w:type="dxa"/>
            <w:vMerge/>
            <w:vAlign w:val="center"/>
            <w:hideMark/>
          </w:tcPr>
          <w:p w:rsidR="00873318" w:rsidRPr="00A907B2" w:rsidRDefault="00873318" w:rsidP="00A907B2">
            <w:pPr>
              <w:pStyle w:val="TableText"/>
              <w:rPr>
                <w:szCs w:val="18"/>
              </w:rPr>
            </w:pPr>
          </w:p>
        </w:tc>
        <w:tc>
          <w:tcPr>
            <w:tcW w:w="1800" w:type="dxa"/>
            <w:shd w:val="clear" w:color="auto" w:fill="auto"/>
            <w:noWrap/>
            <w:vAlign w:val="bottom"/>
            <w:hideMark/>
          </w:tcPr>
          <w:p w:rsidR="00873318" w:rsidRPr="00A907B2" w:rsidRDefault="00873318" w:rsidP="00A907B2">
            <w:pPr>
              <w:pStyle w:val="TableText"/>
              <w:rPr>
                <w:szCs w:val="18"/>
              </w:rPr>
            </w:pPr>
            <w:r w:rsidRPr="00A907B2">
              <w:rPr>
                <w:szCs w:val="18"/>
              </w:rPr>
              <w:t>S. Orange County</w:t>
            </w:r>
          </w:p>
        </w:tc>
        <w:tc>
          <w:tcPr>
            <w:tcW w:w="1336" w:type="dxa"/>
            <w:shd w:val="clear" w:color="auto" w:fill="auto"/>
            <w:noWrap/>
            <w:vAlign w:val="bottom"/>
            <w:hideMark/>
          </w:tcPr>
          <w:p w:rsidR="00873318" w:rsidRPr="00A907B2" w:rsidRDefault="00873318" w:rsidP="00A907B2">
            <w:pPr>
              <w:pStyle w:val="TableText"/>
              <w:rPr>
                <w:szCs w:val="18"/>
              </w:rPr>
            </w:pPr>
            <w:r w:rsidRPr="0087138F">
              <w:rPr>
                <w:szCs w:val="18"/>
              </w:rPr>
              <w:t>298</w:t>
            </w:r>
          </w:p>
        </w:tc>
        <w:tc>
          <w:tcPr>
            <w:tcW w:w="1184" w:type="dxa"/>
            <w:shd w:val="clear" w:color="auto" w:fill="auto"/>
            <w:noWrap/>
            <w:vAlign w:val="bottom"/>
            <w:hideMark/>
          </w:tcPr>
          <w:p w:rsidR="00873318" w:rsidRPr="00A907B2" w:rsidRDefault="00873318" w:rsidP="00A907B2">
            <w:pPr>
              <w:pStyle w:val="TableText"/>
              <w:rPr>
                <w:szCs w:val="18"/>
              </w:rPr>
            </w:pPr>
            <w:r w:rsidRPr="0087138F">
              <w:rPr>
                <w:szCs w:val="18"/>
              </w:rPr>
              <w:t>77.1</w:t>
            </w:r>
          </w:p>
        </w:tc>
        <w:tc>
          <w:tcPr>
            <w:tcW w:w="1209" w:type="dxa"/>
            <w:shd w:val="clear" w:color="auto" w:fill="auto"/>
            <w:noWrap/>
            <w:vAlign w:val="bottom"/>
            <w:hideMark/>
          </w:tcPr>
          <w:p w:rsidR="00873318" w:rsidRPr="00A907B2" w:rsidRDefault="00873318" w:rsidP="00A907B2">
            <w:pPr>
              <w:pStyle w:val="TableText"/>
              <w:rPr>
                <w:szCs w:val="18"/>
              </w:rPr>
            </w:pPr>
            <w:r w:rsidRPr="0087138F">
              <w:rPr>
                <w:szCs w:val="18"/>
              </w:rPr>
              <w:t>75.4</w:t>
            </w:r>
          </w:p>
        </w:tc>
        <w:tc>
          <w:tcPr>
            <w:tcW w:w="861" w:type="dxa"/>
            <w:shd w:val="clear" w:color="auto" w:fill="auto"/>
            <w:noWrap/>
            <w:vAlign w:val="bottom"/>
            <w:hideMark/>
          </w:tcPr>
          <w:p w:rsidR="00873318" w:rsidRPr="00A907B2" w:rsidRDefault="00873318" w:rsidP="00A907B2">
            <w:pPr>
              <w:pStyle w:val="TableText"/>
              <w:rPr>
                <w:szCs w:val="18"/>
              </w:rPr>
            </w:pPr>
            <w:r w:rsidRPr="0087138F">
              <w:rPr>
                <w:szCs w:val="18"/>
              </w:rPr>
              <w:t>1.7</w:t>
            </w:r>
          </w:p>
        </w:tc>
        <w:tc>
          <w:tcPr>
            <w:tcW w:w="1260" w:type="dxa"/>
            <w:shd w:val="clear" w:color="auto" w:fill="auto"/>
            <w:noWrap/>
            <w:vAlign w:val="bottom"/>
            <w:hideMark/>
          </w:tcPr>
          <w:p w:rsidR="00873318" w:rsidRPr="00A907B2" w:rsidRDefault="00873318" w:rsidP="00A907B2">
            <w:pPr>
              <w:pStyle w:val="TableText"/>
              <w:rPr>
                <w:szCs w:val="18"/>
              </w:rPr>
            </w:pPr>
            <w:r w:rsidRPr="0087138F">
              <w:rPr>
                <w:szCs w:val="18"/>
              </w:rPr>
              <w:t>2.24%</w:t>
            </w:r>
          </w:p>
        </w:tc>
        <w:tc>
          <w:tcPr>
            <w:tcW w:w="1170" w:type="dxa"/>
            <w:shd w:val="clear" w:color="auto" w:fill="auto"/>
            <w:noWrap/>
            <w:vAlign w:val="bottom"/>
            <w:hideMark/>
          </w:tcPr>
          <w:p w:rsidR="00873318" w:rsidRPr="00A907B2" w:rsidRDefault="00873318" w:rsidP="00A907B2">
            <w:pPr>
              <w:pStyle w:val="TableText"/>
              <w:rPr>
                <w:szCs w:val="18"/>
              </w:rPr>
            </w:pPr>
            <w:r w:rsidRPr="0087138F">
              <w:rPr>
                <w:szCs w:val="18"/>
              </w:rPr>
              <w:t>88.6</w:t>
            </w:r>
          </w:p>
        </w:tc>
      </w:tr>
      <w:tr w:rsidR="00873318" w:rsidRPr="00EC488A" w:rsidTr="007E27F3">
        <w:trPr>
          <w:trHeight w:val="300"/>
        </w:trPr>
        <w:tc>
          <w:tcPr>
            <w:tcW w:w="1170" w:type="dxa"/>
            <w:vMerge/>
            <w:vAlign w:val="center"/>
            <w:hideMark/>
          </w:tcPr>
          <w:p w:rsidR="00873318" w:rsidRPr="00A907B2" w:rsidRDefault="00873318" w:rsidP="00A907B2">
            <w:pPr>
              <w:pStyle w:val="TableText"/>
              <w:rPr>
                <w:szCs w:val="18"/>
              </w:rPr>
            </w:pPr>
          </w:p>
        </w:tc>
        <w:tc>
          <w:tcPr>
            <w:tcW w:w="1800" w:type="dxa"/>
            <w:shd w:val="clear" w:color="auto" w:fill="auto"/>
            <w:noWrap/>
            <w:vAlign w:val="bottom"/>
            <w:hideMark/>
          </w:tcPr>
          <w:p w:rsidR="00873318" w:rsidRPr="00A907B2" w:rsidRDefault="00873318" w:rsidP="00A907B2">
            <w:pPr>
              <w:pStyle w:val="TableText"/>
              <w:rPr>
                <w:szCs w:val="18"/>
              </w:rPr>
            </w:pPr>
            <w:r w:rsidRPr="00A907B2">
              <w:rPr>
                <w:szCs w:val="18"/>
              </w:rPr>
              <w:t>Other</w:t>
            </w:r>
          </w:p>
        </w:tc>
        <w:tc>
          <w:tcPr>
            <w:tcW w:w="1336" w:type="dxa"/>
            <w:shd w:val="clear" w:color="auto" w:fill="auto"/>
            <w:noWrap/>
            <w:vAlign w:val="bottom"/>
            <w:hideMark/>
          </w:tcPr>
          <w:p w:rsidR="00873318" w:rsidRPr="00A907B2" w:rsidRDefault="00873318" w:rsidP="00A907B2">
            <w:pPr>
              <w:pStyle w:val="TableText"/>
              <w:rPr>
                <w:szCs w:val="18"/>
              </w:rPr>
            </w:pPr>
            <w:r w:rsidRPr="0087138F">
              <w:rPr>
                <w:szCs w:val="18"/>
              </w:rPr>
              <w:t>1,869</w:t>
            </w:r>
          </w:p>
        </w:tc>
        <w:tc>
          <w:tcPr>
            <w:tcW w:w="1184" w:type="dxa"/>
            <w:shd w:val="clear" w:color="auto" w:fill="auto"/>
            <w:noWrap/>
            <w:vAlign w:val="bottom"/>
            <w:hideMark/>
          </w:tcPr>
          <w:p w:rsidR="00873318" w:rsidRPr="00A907B2" w:rsidRDefault="00873318" w:rsidP="00A907B2">
            <w:pPr>
              <w:pStyle w:val="TableText"/>
              <w:rPr>
                <w:szCs w:val="18"/>
              </w:rPr>
            </w:pPr>
            <w:r w:rsidRPr="0087138F">
              <w:rPr>
                <w:szCs w:val="18"/>
              </w:rPr>
              <w:t>407.0</w:t>
            </w:r>
          </w:p>
        </w:tc>
        <w:tc>
          <w:tcPr>
            <w:tcW w:w="1209" w:type="dxa"/>
            <w:shd w:val="clear" w:color="auto" w:fill="auto"/>
            <w:noWrap/>
            <w:vAlign w:val="bottom"/>
            <w:hideMark/>
          </w:tcPr>
          <w:p w:rsidR="00873318" w:rsidRPr="00A907B2" w:rsidRDefault="00873318" w:rsidP="00A907B2">
            <w:pPr>
              <w:pStyle w:val="TableText"/>
              <w:rPr>
                <w:szCs w:val="18"/>
              </w:rPr>
            </w:pPr>
            <w:r w:rsidRPr="0087138F">
              <w:rPr>
                <w:szCs w:val="18"/>
              </w:rPr>
              <w:t>393.5</w:t>
            </w:r>
          </w:p>
        </w:tc>
        <w:tc>
          <w:tcPr>
            <w:tcW w:w="861" w:type="dxa"/>
            <w:shd w:val="clear" w:color="auto" w:fill="auto"/>
            <w:noWrap/>
            <w:vAlign w:val="bottom"/>
            <w:hideMark/>
          </w:tcPr>
          <w:p w:rsidR="00873318" w:rsidRPr="00A907B2" w:rsidRDefault="00873318" w:rsidP="00A907B2">
            <w:pPr>
              <w:pStyle w:val="TableText"/>
              <w:rPr>
                <w:szCs w:val="18"/>
              </w:rPr>
            </w:pPr>
            <w:r w:rsidRPr="0087138F">
              <w:rPr>
                <w:szCs w:val="18"/>
              </w:rPr>
              <w:t>13.5</w:t>
            </w:r>
          </w:p>
        </w:tc>
        <w:tc>
          <w:tcPr>
            <w:tcW w:w="1260" w:type="dxa"/>
            <w:shd w:val="clear" w:color="auto" w:fill="auto"/>
            <w:noWrap/>
            <w:vAlign w:val="bottom"/>
            <w:hideMark/>
          </w:tcPr>
          <w:p w:rsidR="00873318" w:rsidRPr="00A907B2" w:rsidRDefault="00873318" w:rsidP="00A907B2">
            <w:pPr>
              <w:pStyle w:val="TableText"/>
              <w:rPr>
                <w:szCs w:val="18"/>
              </w:rPr>
            </w:pPr>
            <w:r w:rsidRPr="0087138F">
              <w:rPr>
                <w:szCs w:val="18"/>
              </w:rPr>
              <w:t>3.31%</w:t>
            </w:r>
          </w:p>
        </w:tc>
        <w:tc>
          <w:tcPr>
            <w:tcW w:w="1170" w:type="dxa"/>
            <w:shd w:val="clear" w:color="auto" w:fill="auto"/>
            <w:noWrap/>
            <w:vAlign w:val="bottom"/>
            <w:hideMark/>
          </w:tcPr>
          <w:p w:rsidR="00873318" w:rsidRPr="00A907B2" w:rsidRDefault="00873318" w:rsidP="00A907B2">
            <w:pPr>
              <w:pStyle w:val="TableText"/>
              <w:rPr>
                <w:szCs w:val="18"/>
              </w:rPr>
            </w:pPr>
            <w:r w:rsidRPr="0087138F">
              <w:rPr>
                <w:szCs w:val="18"/>
              </w:rPr>
              <w:t>94.7</w:t>
            </w:r>
          </w:p>
        </w:tc>
      </w:tr>
      <w:tr w:rsidR="00873318" w:rsidRPr="00EC488A" w:rsidTr="007E27F3">
        <w:trPr>
          <w:trHeight w:val="300"/>
        </w:trPr>
        <w:tc>
          <w:tcPr>
            <w:tcW w:w="1170" w:type="dxa"/>
            <w:vMerge/>
            <w:vAlign w:val="center"/>
            <w:hideMark/>
          </w:tcPr>
          <w:p w:rsidR="00873318" w:rsidRPr="00A907B2" w:rsidRDefault="00873318" w:rsidP="00A907B2">
            <w:pPr>
              <w:pStyle w:val="TableText"/>
              <w:rPr>
                <w:szCs w:val="18"/>
              </w:rPr>
            </w:pPr>
          </w:p>
        </w:tc>
        <w:tc>
          <w:tcPr>
            <w:tcW w:w="1800" w:type="dxa"/>
            <w:shd w:val="clear" w:color="auto" w:fill="auto"/>
            <w:noWrap/>
            <w:vAlign w:val="bottom"/>
            <w:hideMark/>
          </w:tcPr>
          <w:p w:rsidR="00873318" w:rsidRPr="00A907B2" w:rsidRDefault="00873318" w:rsidP="00A907B2">
            <w:pPr>
              <w:pStyle w:val="TableText"/>
              <w:rPr>
                <w:szCs w:val="18"/>
              </w:rPr>
            </w:pPr>
            <w:r w:rsidRPr="00A907B2">
              <w:rPr>
                <w:szCs w:val="18"/>
              </w:rPr>
              <w:t>All Customers</w:t>
            </w:r>
          </w:p>
        </w:tc>
        <w:tc>
          <w:tcPr>
            <w:tcW w:w="1336" w:type="dxa"/>
            <w:shd w:val="clear" w:color="auto" w:fill="auto"/>
            <w:noWrap/>
            <w:vAlign w:val="bottom"/>
            <w:hideMark/>
          </w:tcPr>
          <w:p w:rsidR="00873318" w:rsidRPr="00A907B2" w:rsidRDefault="00873318" w:rsidP="00A907B2">
            <w:pPr>
              <w:pStyle w:val="TableText"/>
              <w:rPr>
                <w:szCs w:val="18"/>
              </w:rPr>
            </w:pPr>
            <w:r w:rsidRPr="0087138F">
              <w:rPr>
                <w:szCs w:val="18"/>
              </w:rPr>
              <w:t>3,123</w:t>
            </w:r>
          </w:p>
        </w:tc>
        <w:tc>
          <w:tcPr>
            <w:tcW w:w="1184" w:type="dxa"/>
            <w:shd w:val="clear" w:color="auto" w:fill="auto"/>
            <w:noWrap/>
            <w:vAlign w:val="bottom"/>
            <w:hideMark/>
          </w:tcPr>
          <w:p w:rsidR="00873318" w:rsidRPr="00A907B2" w:rsidRDefault="00873318" w:rsidP="00A907B2">
            <w:pPr>
              <w:pStyle w:val="TableText"/>
              <w:rPr>
                <w:szCs w:val="18"/>
              </w:rPr>
            </w:pPr>
            <w:r w:rsidRPr="0087138F">
              <w:rPr>
                <w:szCs w:val="18"/>
              </w:rPr>
              <w:t>708.7</w:t>
            </w:r>
          </w:p>
        </w:tc>
        <w:tc>
          <w:tcPr>
            <w:tcW w:w="1209" w:type="dxa"/>
            <w:shd w:val="clear" w:color="auto" w:fill="auto"/>
            <w:noWrap/>
            <w:vAlign w:val="bottom"/>
            <w:hideMark/>
          </w:tcPr>
          <w:p w:rsidR="00873318" w:rsidRPr="00A907B2" w:rsidRDefault="00873318" w:rsidP="00A907B2">
            <w:pPr>
              <w:pStyle w:val="TableText"/>
              <w:rPr>
                <w:szCs w:val="18"/>
              </w:rPr>
            </w:pPr>
            <w:r w:rsidRPr="0087138F">
              <w:rPr>
                <w:szCs w:val="18"/>
              </w:rPr>
              <w:t>678.7</w:t>
            </w:r>
          </w:p>
        </w:tc>
        <w:tc>
          <w:tcPr>
            <w:tcW w:w="861" w:type="dxa"/>
            <w:shd w:val="clear" w:color="auto" w:fill="auto"/>
            <w:noWrap/>
            <w:vAlign w:val="bottom"/>
            <w:hideMark/>
          </w:tcPr>
          <w:p w:rsidR="00873318" w:rsidRPr="00A907B2" w:rsidRDefault="00873318" w:rsidP="00A907B2">
            <w:pPr>
              <w:pStyle w:val="TableText"/>
              <w:rPr>
                <w:szCs w:val="18"/>
              </w:rPr>
            </w:pPr>
            <w:r w:rsidRPr="0087138F">
              <w:rPr>
                <w:szCs w:val="18"/>
              </w:rPr>
              <w:t>30.0</w:t>
            </w:r>
          </w:p>
        </w:tc>
        <w:tc>
          <w:tcPr>
            <w:tcW w:w="1260" w:type="dxa"/>
            <w:shd w:val="clear" w:color="auto" w:fill="auto"/>
            <w:noWrap/>
            <w:vAlign w:val="bottom"/>
            <w:hideMark/>
          </w:tcPr>
          <w:p w:rsidR="00873318" w:rsidRPr="00A907B2" w:rsidRDefault="00873318" w:rsidP="00A907B2">
            <w:pPr>
              <w:pStyle w:val="TableText"/>
              <w:rPr>
                <w:szCs w:val="18"/>
              </w:rPr>
            </w:pPr>
            <w:r w:rsidRPr="0087138F">
              <w:rPr>
                <w:szCs w:val="18"/>
              </w:rPr>
              <w:t>4.23%</w:t>
            </w:r>
          </w:p>
        </w:tc>
        <w:tc>
          <w:tcPr>
            <w:tcW w:w="1170" w:type="dxa"/>
            <w:shd w:val="clear" w:color="auto" w:fill="auto"/>
            <w:noWrap/>
            <w:vAlign w:val="bottom"/>
            <w:hideMark/>
          </w:tcPr>
          <w:p w:rsidR="00873318" w:rsidRPr="00A907B2" w:rsidRDefault="00873318" w:rsidP="00A907B2">
            <w:pPr>
              <w:pStyle w:val="TableText"/>
              <w:rPr>
                <w:szCs w:val="18"/>
              </w:rPr>
            </w:pPr>
            <w:r w:rsidRPr="0087138F">
              <w:rPr>
                <w:szCs w:val="18"/>
              </w:rPr>
              <w:t>95.5</w:t>
            </w:r>
          </w:p>
        </w:tc>
      </w:tr>
      <w:tr w:rsidR="00873318" w:rsidRPr="00EC488A" w:rsidTr="007E27F3">
        <w:trPr>
          <w:trHeight w:val="300"/>
        </w:trPr>
        <w:tc>
          <w:tcPr>
            <w:tcW w:w="1170" w:type="dxa"/>
            <w:vMerge w:val="restart"/>
            <w:shd w:val="clear" w:color="auto" w:fill="auto"/>
            <w:vAlign w:val="center"/>
            <w:hideMark/>
          </w:tcPr>
          <w:p w:rsidR="00873318" w:rsidRPr="00A907B2" w:rsidRDefault="00873318" w:rsidP="00A907B2">
            <w:pPr>
              <w:pStyle w:val="TableText"/>
              <w:rPr>
                <w:szCs w:val="18"/>
              </w:rPr>
            </w:pPr>
            <w:r w:rsidRPr="0087138F">
              <w:rPr>
                <w:szCs w:val="18"/>
              </w:rPr>
              <w:t>1-in-2 August System Peak Day</w:t>
            </w:r>
          </w:p>
        </w:tc>
        <w:tc>
          <w:tcPr>
            <w:tcW w:w="1800" w:type="dxa"/>
            <w:shd w:val="clear" w:color="auto" w:fill="auto"/>
            <w:noWrap/>
            <w:vAlign w:val="bottom"/>
            <w:hideMark/>
          </w:tcPr>
          <w:p w:rsidR="00873318" w:rsidRPr="00A907B2" w:rsidRDefault="00873318" w:rsidP="00A907B2">
            <w:pPr>
              <w:pStyle w:val="TableText"/>
              <w:rPr>
                <w:szCs w:val="18"/>
              </w:rPr>
            </w:pPr>
            <w:r w:rsidRPr="0087138F">
              <w:rPr>
                <w:szCs w:val="18"/>
              </w:rPr>
              <w:t>South of Lugo</w:t>
            </w:r>
          </w:p>
        </w:tc>
        <w:tc>
          <w:tcPr>
            <w:tcW w:w="1336" w:type="dxa"/>
            <w:shd w:val="clear" w:color="auto" w:fill="auto"/>
            <w:noWrap/>
            <w:vAlign w:val="bottom"/>
            <w:hideMark/>
          </w:tcPr>
          <w:p w:rsidR="00873318" w:rsidRPr="00A907B2" w:rsidRDefault="00873318" w:rsidP="00A907B2">
            <w:pPr>
              <w:pStyle w:val="TableText"/>
              <w:rPr>
                <w:szCs w:val="18"/>
              </w:rPr>
            </w:pPr>
            <w:r w:rsidRPr="0087138F">
              <w:rPr>
                <w:szCs w:val="18"/>
              </w:rPr>
              <w:t>955</w:t>
            </w:r>
          </w:p>
        </w:tc>
        <w:tc>
          <w:tcPr>
            <w:tcW w:w="1184" w:type="dxa"/>
            <w:shd w:val="clear" w:color="auto" w:fill="auto"/>
            <w:noWrap/>
            <w:vAlign w:val="bottom"/>
            <w:hideMark/>
          </w:tcPr>
          <w:p w:rsidR="00873318" w:rsidRPr="00A907B2" w:rsidRDefault="00873318" w:rsidP="00A907B2">
            <w:pPr>
              <w:pStyle w:val="TableText"/>
              <w:rPr>
                <w:szCs w:val="18"/>
              </w:rPr>
            </w:pPr>
            <w:r w:rsidRPr="0087138F">
              <w:rPr>
                <w:szCs w:val="18"/>
              </w:rPr>
              <w:t>222.1</w:t>
            </w:r>
          </w:p>
        </w:tc>
        <w:tc>
          <w:tcPr>
            <w:tcW w:w="1209" w:type="dxa"/>
            <w:shd w:val="clear" w:color="auto" w:fill="auto"/>
            <w:noWrap/>
            <w:vAlign w:val="bottom"/>
            <w:hideMark/>
          </w:tcPr>
          <w:p w:rsidR="00873318" w:rsidRPr="00A907B2" w:rsidRDefault="00873318" w:rsidP="00A907B2">
            <w:pPr>
              <w:pStyle w:val="TableText"/>
              <w:rPr>
                <w:szCs w:val="18"/>
              </w:rPr>
            </w:pPr>
            <w:r w:rsidRPr="0087138F">
              <w:rPr>
                <w:szCs w:val="18"/>
              </w:rPr>
              <w:t>207.3</w:t>
            </w:r>
          </w:p>
        </w:tc>
        <w:tc>
          <w:tcPr>
            <w:tcW w:w="861" w:type="dxa"/>
            <w:shd w:val="clear" w:color="auto" w:fill="auto"/>
            <w:noWrap/>
            <w:vAlign w:val="bottom"/>
            <w:hideMark/>
          </w:tcPr>
          <w:p w:rsidR="00873318" w:rsidRPr="00A907B2" w:rsidRDefault="00873318" w:rsidP="00A907B2">
            <w:pPr>
              <w:pStyle w:val="TableText"/>
              <w:rPr>
                <w:szCs w:val="18"/>
              </w:rPr>
            </w:pPr>
            <w:r w:rsidRPr="0087138F">
              <w:rPr>
                <w:szCs w:val="18"/>
              </w:rPr>
              <w:t>14.8</w:t>
            </w:r>
          </w:p>
        </w:tc>
        <w:tc>
          <w:tcPr>
            <w:tcW w:w="1260" w:type="dxa"/>
            <w:shd w:val="clear" w:color="auto" w:fill="auto"/>
            <w:noWrap/>
            <w:vAlign w:val="bottom"/>
            <w:hideMark/>
          </w:tcPr>
          <w:p w:rsidR="00873318" w:rsidRPr="00A907B2" w:rsidRDefault="00873318" w:rsidP="00A907B2">
            <w:pPr>
              <w:pStyle w:val="TableText"/>
              <w:rPr>
                <w:szCs w:val="18"/>
              </w:rPr>
            </w:pPr>
            <w:r w:rsidRPr="0087138F">
              <w:rPr>
                <w:szCs w:val="18"/>
              </w:rPr>
              <w:t>6.68%</w:t>
            </w:r>
          </w:p>
        </w:tc>
        <w:tc>
          <w:tcPr>
            <w:tcW w:w="1170" w:type="dxa"/>
            <w:shd w:val="clear" w:color="auto" w:fill="auto"/>
            <w:noWrap/>
            <w:vAlign w:val="bottom"/>
            <w:hideMark/>
          </w:tcPr>
          <w:p w:rsidR="00873318" w:rsidRPr="00A907B2" w:rsidRDefault="00873318" w:rsidP="00A907B2">
            <w:pPr>
              <w:pStyle w:val="TableText"/>
              <w:rPr>
                <w:szCs w:val="18"/>
              </w:rPr>
            </w:pPr>
            <w:r w:rsidRPr="0087138F">
              <w:rPr>
                <w:szCs w:val="18"/>
              </w:rPr>
              <w:t>98.4</w:t>
            </w:r>
          </w:p>
        </w:tc>
      </w:tr>
      <w:tr w:rsidR="00873318" w:rsidRPr="00EC488A" w:rsidTr="007E27F3">
        <w:trPr>
          <w:trHeight w:val="300"/>
        </w:trPr>
        <w:tc>
          <w:tcPr>
            <w:tcW w:w="1170" w:type="dxa"/>
            <w:vMerge/>
            <w:vAlign w:val="center"/>
            <w:hideMark/>
          </w:tcPr>
          <w:p w:rsidR="00873318" w:rsidRPr="00A907B2" w:rsidRDefault="00873318" w:rsidP="00A907B2">
            <w:pPr>
              <w:pStyle w:val="TableText"/>
              <w:rPr>
                <w:szCs w:val="18"/>
              </w:rPr>
            </w:pPr>
          </w:p>
        </w:tc>
        <w:tc>
          <w:tcPr>
            <w:tcW w:w="1800" w:type="dxa"/>
            <w:shd w:val="clear" w:color="auto" w:fill="auto"/>
            <w:noWrap/>
            <w:vAlign w:val="bottom"/>
            <w:hideMark/>
          </w:tcPr>
          <w:p w:rsidR="00873318" w:rsidRPr="00A907B2" w:rsidRDefault="00873318" w:rsidP="00A907B2">
            <w:pPr>
              <w:pStyle w:val="TableText"/>
              <w:rPr>
                <w:szCs w:val="18"/>
              </w:rPr>
            </w:pPr>
            <w:r w:rsidRPr="00A907B2">
              <w:rPr>
                <w:szCs w:val="18"/>
              </w:rPr>
              <w:t>S. Orange County</w:t>
            </w:r>
          </w:p>
        </w:tc>
        <w:tc>
          <w:tcPr>
            <w:tcW w:w="1336" w:type="dxa"/>
            <w:shd w:val="clear" w:color="auto" w:fill="auto"/>
            <w:noWrap/>
            <w:vAlign w:val="bottom"/>
            <w:hideMark/>
          </w:tcPr>
          <w:p w:rsidR="00873318" w:rsidRPr="00A907B2" w:rsidRDefault="00873318" w:rsidP="00A907B2">
            <w:pPr>
              <w:pStyle w:val="TableText"/>
              <w:rPr>
                <w:szCs w:val="18"/>
              </w:rPr>
            </w:pPr>
            <w:r w:rsidRPr="0087138F">
              <w:rPr>
                <w:szCs w:val="18"/>
              </w:rPr>
              <w:t>298</w:t>
            </w:r>
          </w:p>
        </w:tc>
        <w:tc>
          <w:tcPr>
            <w:tcW w:w="1184" w:type="dxa"/>
            <w:shd w:val="clear" w:color="auto" w:fill="auto"/>
            <w:noWrap/>
            <w:vAlign w:val="bottom"/>
            <w:hideMark/>
          </w:tcPr>
          <w:p w:rsidR="00873318" w:rsidRPr="00A907B2" w:rsidRDefault="00873318" w:rsidP="00A907B2">
            <w:pPr>
              <w:pStyle w:val="TableText"/>
              <w:rPr>
                <w:szCs w:val="18"/>
              </w:rPr>
            </w:pPr>
            <w:r w:rsidRPr="0087138F">
              <w:rPr>
                <w:szCs w:val="18"/>
              </w:rPr>
              <w:t>75.6</w:t>
            </w:r>
          </w:p>
        </w:tc>
        <w:tc>
          <w:tcPr>
            <w:tcW w:w="1209" w:type="dxa"/>
            <w:shd w:val="clear" w:color="auto" w:fill="auto"/>
            <w:noWrap/>
            <w:vAlign w:val="bottom"/>
            <w:hideMark/>
          </w:tcPr>
          <w:p w:rsidR="00873318" w:rsidRPr="00A907B2" w:rsidRDefault="00873318" w:rsidP="00A907B2">
            <w:pPr>
              <w:pStyle w:val="TableText"/>
              <w:rPr>
                <w:szCs w:val="18"/>
              </w:rPr>
            </w:pPr>
            <w:r w:rsidRPr="0087138F">
              <w:rPr>
                <w:szCs w:val="18"/>
              </w:rPr>
              <w:t>73.9</w:t>
            </w:r>
          </w:p>
        </w:tc>
        <w:tc>
          <w:tcPr>
            <w:tcW w:w="861" w:type="dxa"/>
            <w:shd w:val="clear" w:color="auto" w:fill="auto"/>
            <w:noWrap/>
            <w:vAlign w:val="bottom"/>
            <w:hideMark/>
          </w:tcPr>
          <w:p w:rsidR="00873318" w:rsidRPr="00A907B2" w:rsidRDefault="00873318" w:rsidP="00A907B2">
            <w:pPr>
              <w:pStyle w:val="TableText"/>
              <w:rPr>
                <w:szCs w:val="18"/>
              </w:rPr>
            </w:pPr>
            <w:r w:rsidRPr="0087138F">
              <w:rPr>
                <w:szCs w:val="18"/>
              </w:rPr>
              <w:t>1.7</w:t>
            </w:r>
          </w:p>
        </w:tc>
        <w:tc>
          <w:tcPr>
            <w:tcW w:w="1260" w:type="dxa"/>
            <w:shd w:val="clear" w:color="auto" w:fill="auto"/>
            <w:noWrap/>
            <w:vAlign w:val="bottom"/>
            <w:hideMark/>
          </w:tcPr>
          <w:p w:rsidR="00873318" w:rsidRPr="00A907B2" w:rsidRDefault="00873318" w:rsidP="00A907B2">
            <w:pPr>
              <w:pStyle w:val="TableText"/>
              <w:rPr>
                <w:szCs w:val="18"/>
              </w:rPr>
            </w:pPr>
            <w:r w:rsidRPr="0087138F">
              <w:rPr>
                <w:szCs w:val="18"/>
              </w:rPr>
              <w:t>2.26%</w:t>
            </w:r>
          </w:p>
        </w:tc>
        <w:tc>
          <w:tcPr>
            <w:tcW w:w="1170" w:type="dxa"/>
            <w:shd w:val="clear" w:color="auto" w:fill="auto"/>
            <w:noWrap/>
            <w:vAlign w:val="bottom"/>
            <w:hideMark/>
          </w:tcPr>
          <w:p w:rsidR="00873318" w:rsidRPr="00A907B2" w:rsidRDefault="00873318" w:rsidP="00A907B2">
            <w:pPr>
              <w:pStyle w:val="TableText"/>
              <w:rPr>
                <w:szCs w:val="18"/>
              </w:rPr>
            </w:pPr>
            <w:r w:rsidRPr="0087138F">
              <w:rPr>
                <w:szCs w:val="18"/>
              </w:rPr>
              <w:t>87.5</w:t>
            </w:r>
          </w:p>
        </w:tc>
      </w:tr>
      <w:tr w:rsidR="00873318" w:rsidRPr="00EC488A" w:rsidTr="007E27F3">
        <w:trPr>
          <w:trHeight w:val="300"/>
        </w:trPr>
        <w:tc>
          <w:tcPr>
            <w:tcW w:w="1170" w:type="dxa"/>
            <w:vMerge/>
            <w:vAlign w:val="center"/>
            <w:hideMark/>
          </w:tcPr>
          <w:p w:rsidR="00873318" w:rsidRPr="00A907B2" w:rsidRDefault="00873318" w:rsidP="00A907B2">
            <w:pPr>
              <w:pStyle w:val="TableText"/>
              <w:rPr>
                <w:szCs w:val="18"/>
              </w:rPr>
            </w:pPr>
          </w:p>
        </w:tc>
        <w:tc>
          <w:tcPr>
            <w:tcW w:w="1800" w:type="dxa"/>
            <w:shd w:val="clear" w:color="auto" w:fill="auto"/>
            <w:noWrap/>
            <w:vAlign w:val="bottom"/>
            <w:hideMark/>
          </w:tcPr>
          <w:p w:rsidR="00873318" w:rsidRPr="00A907B2" w:rsidRDefault="00873318" w:rsidP="00A907B2">
            <w:pPr>
              <w:pStyle w:val="TableText"/>
              <w:rPr>
                <w:szCs w:val="18"/>
              </w:rPr>
            </w:pPr>
            <w:r w:rsidRPr="00A907B2">
              <w:rPr>
                <w:szCs w:val="18"/>
              </w:rPr>
              <w:t>Other</w:t>
            </w:r>
          </w:p>
        </w:tc>
        <w:tc>
          <w:tcPr>
            <w:tcW w:w="1336" w:type="dxa"/>
            <w:shd w:val="clear" w:color="auto" w:fill="auto"/>
            <w:noWrap/>
            <w:vAlign w:val="bottom"/>
            <w:hideMark/>
          </w:tcPr>
          <w:p w:rsidR="00873318" w:rsidRPr="00A907B2" w:rsidRDefault="00873318" w:rsidP="00A907B2">
            <w:pPr>
              <w:pStyle w:val="TableText"/>
              <w:rPr>
                <w:szCs w:val="18"/>
              </w:rPr>
            </w:pPr>
            <w:r w:rsidRPr="0087138F">
              <w:rPr>
                <w:szCs w:val="18"/>
              </w:rPr>
              <w:t>1,869</w:t>
            </w:r>
          </w:p>
        </w:tc>
        <w:tc>
          <w:tcPr>
            <w:tcW w:w="1184" w:type="dxa"/>
            <w:shd w:val="clear" w:color="auto" w:fill="auto"/>
            <w:noWrap/>
            <w:vAlign w:val="bottom"/>
            <w:hideMark/>
          </w:tcPr>
          <w:p w:rsidR="00873318" w:rsidRPr="00A907B2" w:rsidRDefault="00873318" w:rsidP="00A907B2">
            <w:pPr>
              <w:pStyle w:val="TableText"/>
              <w:rPr>
                <w:szCs w:val="18"/>
              </w:rPr>
            </w:pPr>
            <w:r w:rsidRPr="0087138F">
              <w:rPr>
                <w:szCs w:val="18"/>
              </w:rPr>
              <w:t>396.8</w:t>
            </w:r>
          </w:p>
        </w:tc>
        <w:tc>
          <w:tcPr>
            <w:tcW w:w="1209" w:type="dxa"/>
            <w:shd w:val="clear" w:color="auto" w:fill="auto"/>
            <w:noWrap/>
            <w:vAlign w:val="bottom"/>
            <w:hideMark/>
          </w:tcPr>
          <w:p w:rsidR="00873318" w:rsidRPr="00A907B2" w:rsidRDefault="00873318" w:rsidP="00A907B2">
            <w:pPr>
              <w:pStyle w:val="TableText"/>
              <w:rPr>
                <w:szCs w:val="18"/>
              </w:rPr>
            </w:pPr>
            <w:r w:rsidRPr="0087138F">
              <w:rPr>
                <w:szCs w:val="18"/>
              </w:rPr>
              <w:t>381.6</w:t>
            </w:r>
          </w:p>
        </w:tc>
        <w:tc>
          <w:tcPr>
            <w:tcW w:w="861" w:type="dxa"/>
            <w:shd w:val="clear" w:color="auto" w:fill="auto"/>
            <w:noWrap/>
            <w:vAlign w:val="bottom"/>
            <w:hideMark/>
          </w:tcPr>
          <w:p w:rsidR="00873318" w:rsidRPr="00A907B2" w:rsidRDefault="00873318" w:rsidP="00A907B2">
            <w:pPr>
              <w:pStyle w:val="TableText"/>
              <w:rPr>
                <w:szCs w:val="18"/>
              </w:rPr>
            </w:pPr>
            <w:r w:rsidRPr="0087138F">
              <w:rPr>
                <w:szCs w:val="18"/>
              </w:rPr>
              <w:t>15.2</w:t>
            </w:r>
          </w:p>
        </w:tc>
        <w:tc>
          <w:tcPr>
            <w:tcW w:w="1260" w:type="dxa"/>
            <w:shd w:val="clear" w:color="auto" w:fill="auto"/>
            <w:noWrap/>
            <w:vAlign w:val="bottom"/>
            <w:hideMark/>
          </w:tcPr>
          <w:p w:rsidR="00873318" w:rsidRPr="00A907B2" w:rsidRDefault="00873318" w:rsidP="00A907B2">
            <w:pPr>
              <w:pStyle w:val="TableText"/>
              <w:rPr>
                <w:szCs w:val="18"/>
              </w:rPr>
            </w:pPr>
            <w:r w:rsidRPr="0087138F">
              <w:rPr>
                <w:szCs w:val="18"/>
              </w:rPr>
              <w:t>3.84%</w:t>
            </w:r>
          </w:p>
        </w:tc>
        <w:tc>
          <w:tcPr>
            <w:tcW w:w="1170" w:type="dxa"/>
            <w:shd w:val="clear" w:color="auto" w:fill="auto"/>
            <w:noWrap/>
            <w:vAlign w:val="bottom"/>
            <w:hideMark/>
          </w:tcPr>
          <w:p w:rsidR="00873318" w:rsidRPr="00A907B2" w:rsidRDefault="00873318" w:rsidP="00A907B2">
            <w:pPr>
              <w:pStyle w:val="TableText"/>
              <w:rPr>
                <w:szCs w:val="18"/>
              </w:rPr>
            </w:pPr>
            <w:r w:rsidRPr="0087138F">
              <w:rPr>
                <w:szCs w:val="18"/>
              </w:rPr>
              <w:t>92.2</w:t>
            </w:r>
          </w:p>
        </w:tc>
      </w:tr>
      <w:tr w:rsidR="00873318" w:rsidRPr="00EC488A" w:rsidTr="007E27F3">
        <w:trPr>
          <w:trHeight w:val="300"/>
        </w:trPr>
        <w:tc>
          <w:tcPr>
            <w:tcW w:w="1170" w:type="dxa"/>
            <w:vMerge/>
            <w:vAlign w:val="center"/>
            <w:hideMark/>
          </w:tcPr>
          <w:p w:rsidR="00873318" w:rsidRPr="00A907B2" w:rsidRDefault="00873318" w:rsidP="00A907B2">
            <w:pPr>
              <w:pStyle w:val="TableText"/>
              <w:rPr>
                <w:szCs w:val="18"/>
              </w:rPr>
            </w:pPr>
          </w:p>
        </w:tc>
        <w:tc>
          <w:tcPr>
            <w:tcW w:w="1800" w:type="dxa"/>
            <w:shd w:val="clear" w:color="auto" w:fill="auto"/>
            <w:noWrap/>
            <w:vAlign w:val="bottom"/>
            <w:hideMark/>
          </w:tcPr>
          <w:p w:rsidR="00873318" w:rsidRPr="00A907B2" w:rsidRDefault="00873318" w:rsidP="00A907B2">
            <w:pPr>
              <w:pStyle w:val="TableText"/>
              <w:rPr>
                <w:szCs w:val="18"/>
              </w:rPr>
            </w:pPr>
            <w:r w:rsidRPr="00A907B2">
              <w:rPr>
                <w:szCs w:val="18"/>
              </w:rPr>
              <w:t>All Customers</w:t>
            </w:r>
          </w:p>
        </w:tc>
        <w:tc>
          <w:tcPr>
            <w:tcW w:w="1336" w:type="dxa"/>
            <w:shd w:val="clear" w:color="auto" w:fill="auto"/>
            <w:noWrap/>
            <w:vAlign w:val="bottom"/>
            <w:hideMark/>
          </w:tcPr>
          <w:p w:rsidR="00873318" w:rsidRPr="00A907B2" w:rsidRDefault="00873318" w:rsidP="00A907B2">
            <w:pPr>
              <w:pStyle w:val="TableText"/>
              <w:rPr>
                <w:szCs w:val="18"/>
              </w:rPr>
            </w:pPr>
            <w:r w:rsidRPr="0087138F">
              <w:rPr>
                <w:szCs w:val="18"/>
              </w:rPr>
              <w:t>3,123</w:t>
            </w:r>
          </w:p>
        </w:tc>
        <w:tc>
          <w:tcPr>
            <w:tcW w:w="1184" w:type="dxa"/>
            <w:shd w:val="clear" w:color="auto" w:fill="auto"/>
            <w:noWrap/>
            <w:vAlign w:val="bottom"/>
            <w:hideMark/>
          </w:tcPr>
          <w:p w:rsidR="00873318" w:rsidRPr="00A907B2" w:rsidRDefault="00873318" w:rsidP="00A907B2">
            <w:pPr>
              <w:pStyle w:val="TableText"/>
              <w:rPr>
                <w:szCs w:val="18"/>
              </w:rPr>
            </w:pPr>
            <w:r w:rsidRPr="0087138F">
              <w:rPr>
                <w:szCs w:val="18"/>
              </w:rPr>
              <w:t>694.5</w:t>
            </w:r>
          </w:p>
        </w:tc>
        <w:tc>
          <w:tcPr>
            <w:tcW w:w="1209" w:type="dxa"/>
            <w:shd w:val="clear" w:color="auto" w:fill="auto"/>
            <w:noWrap/>
            <w:vAlign w:val="bottom"/>
            <w:hideMark/>
          </w:tcPr>
          <w:p w:rsidR="00873318" w:rsidRPr="00A907B2" w:rsidRDefault="00873318" w:rsidP="00A907B2">
            <w:pPr>
              <w:pStyle w:val="TableText"/>
              <w:rPr>
                <w:szCs w:val="18"/>
              </w:rPr>
            </w:pPr>
            <w:r w:rsidRPr="0087138F">
              <w:rPr>
                <w:szCs w:val="18"/>
              </w:rPr>
              <w:t>662.7</w:t>
            </w:r>
          </w:p>
        </w:tc>
        <w:tc>
          <w:tcPr>
            <w:tcW w:w="861" w:type="dxa"/>
            <w:shd w:val="clear" w:color="auto" w:fill="auto"/>
            <w:noWrap/>
            <w:vAlign w:val="bottom"/>
            <w:hideMark/>
          </w:tcPr>
          <w:p w:rsidR="00873318" w:rsidRPr="00A907B2" w:rsidRDefault="00873318" w:rsidP="00A907B2">
            <w:pPr>
              <w:pStyle w:val="TableText"/>
              <w:rPr>
                <w:szCs w:val="18"/>
              </w:rPr>
            </w:pPr>
            <w:r w:rsidRPr="0087138F">
              <w:rPr>
                <w:szCs w:val="18"/>
              </w:rPr>
              <w:t>31.8</w:t>
            </w:r>
          </w:p>
        </w:tc>
        <w:tc>
          <w:tcPr>
            <w:tcW w:w="1260" w:type="dxa"/>
            <w:shd w:val="clear" w:color="auto" w:fill="auto"/>
            <w:noWrap/>
            <w:vAlign w:val="bottom"/>
            <w:hideMark/>
          </w:tcPr>
          <w:p w:rsidR="00873318" w:rsidRPr="00A907B2" w:rsidRDefault="00873318" w:rsidP="00A907B2">
            <w:pPr>
              <w:pStyle w:val="TableText"/>
              <w:rPr>
                <w:szCs w:val="18"/>
              </w:rPr>
            </w:pPr>
            <w:r w:rsidRPr="0087138F">
              <w:rPr>
                <w:szCs w:val="18"/>
              </w:rPr>
              <w:t>4.58%</w:t>
            </w:r>
          </w:p>
        </w:tc>
        <w:tc>
          <w:tcPr>
            <w:tcW w:w="1170" w:type="dxa"/>
            <w:shd w:val="clear" w:color="auto" w:fill="auto"/>
            <w:noWrap/>
            <w:vAlign w:val="bottom"/>
            <w:hideMark/>
          </w:tcPr>
          <w:p w:rsidR="00873318" w:rsidRPr="00A907B2" w:rsidRDefault="00873318" w:rsidP="00A907B2">
            <w:pPr>
              <w:pStyle w:val="TableText"/>
              <w:rPr>
                <w:szCs w:val="18"/>
              </w:rPr>
            </w:pPr>
            <w:r w:rsidRPr="0087138F">
              <w:rPr>
                <w:szCs w:val="18"/>
              </w:rPr>
              <w:t>93.6</w:t>
            </w:r>
          </w:p>
        </w:tc>
      </w:tr>
    </w:tbl>
    <w:p w:rsidR="001E3B5B" w:rsidRDefault="001E3B5B" w:rsidP="00340FC0">
      <w:pPr>
        <w:pStyle w:val="Heading2"/>
        <w:numPr>
          <w:ilvl w:val="0"/>
          <w:numId w:val="0"/>
        </w:numPr>
        <w:ind w:left="720"/>
      </w:pPr>
      <w:bookmarkStart w:id="208" w:name="_Toc351370132"/>
      <w:bookmarkStart w:id="209" w:name="_Toc350876898"/>
    </w:p>
    <w:bookmarkEnd w:id="208"/>
    <w:bookmarkEnd w:id="209"/>
    <w:p w:rsidR="00DA41F5" w:rsidRDefault="008629BE" w:rsidP="00DA41F5">
      <w:pPr>
        <w:pStyle w:val="Heading1"/>
      </w:pPr>
      <w:r>
        <w:br w:type="column"/>
      </w:r>
      <w:bookmarkStart w:id="210" w:name="_Toc352323665"/>
      <w:r w:rsidR="00DA41F5">
        <w:lastRenderedPageBreak/>
        <w:t>SDG&amp;E Ex Ante Load Impacts</w:t>
      </w:r>
      <w:bookmarkEnd w:id="210"/>
    </w:p>
    <w:p w:rsidR="008D48E1" w:rsidRDefault="008D48E1" w:rsidP="008D48E1">
      <w:pPr>
        <w:pStyle w:val="BodyParagraph"/>
      </w:pPr>
      <w:r w:rsidRPr="007954D4">
        <w:t xml:space="preserve">This section presents ex ante load impact estimates for </w:t>
      </w:r>
      <w:r>
        <w:t>SDG&amp;E's</w:t>
      </w:r>
      <w:r w:rsidRPr="007954D4">
        <w:t xml:space="preserve"> </w:t>
      </w:r>
      <w:r>
        <w:t>non-residential CPP tariff.  These estimates are</w:t>
      </w:r>
      <w:r w:rsidRPr="00A34875">
        <w:t xml:space="preserve"> </w:t>
      </w:r>
      <w:r>
        <w:t xml:space="preserve">based on the ex post estimates for 2012 developed using the difference-in-differences approach.  Typically, a multi-year analysis is preferable as it helps better define variation in performance across events and the relationship between demand reductions and weather.  However, a multi-year analysis with a control group was not representative because only 50% of current CPP customers were both matched and had complete multi-year history of participation on default CPP.  In addition, SDG&amp;E experienced cooler weather and called few weekday events in 2010 and 2011 and as a result the loss of information by developing ex ante estimates based on 2012 ex post results alone was minimal.  While individual regressions are flexible and can be customized to analyze the event history unique to each customer, they produced extremely weather sensitive results which, under further scrutiny, proved to be an artifact.  </w:t>
      </w:r>
      <w:r w:rsidR="00B15979">
        <w:t>I</w:t>
      </w:r>
      <w:r>
        <w:t xml:space="preserve">ndividual regressions produced inaccurate ex ante impacts for SDG&amp;E: the estimates were too high at hotter temperatures and too low for cooler temperatures.  This was not true for PG&amp;E and SCE, where the individual customer regressions and control group methods produced similar results and weather sensitivity.  </w:t>
      </w:r>
    </w:p>
    <w:p w:rsidR="008D48E1" w:rsidRDefault="008D48E1" w:rsidP="008D48E1">
      <w:pPr>
        <w:pStyle w:val="BodyParagraph"/>
      </w:pPr>
      <w:r>
        <w:t xml:space="preserve">Two primary steps were required to produce SDG&amp;E’s ex ante estimates.  First, reference loads were estimated based on the weather observed in 1-in-2 and 1-in-10 weather year conditions for each month.  Next, we applied the average percent demand reduction, by industry, observed in 2012.  The averages were used because the 2012 ex post percent reductions using the difference-in-differences method showed little weather sensitivity.  </w:t>
      </w:r>
      <w:r w:rsidR="00B15979">
        <w:t>R</w:t>
      </w:r>
      <w:r>
        <w:t xml:space="preserve">eference loads varied based on temperature and industry mix, while the percent demand reductions were constant across temperature but varied by industry.      </w:t>
      </w:r>
    </w:p>
    <w:p w:rsidR="008D48E1" w:rsidRDefault="008D48E1" w:rsidP="008D48E1">
      <w:pPr>
        <w:pStyle w:val="BodyParagraph"/>
      </w:pPr>
      <w:r>
        <w:t xml:space="preserve">The </w:t>
      </w:r>
      <w:r w:rsidRPr="00B73C21">
        <w:t>remainder of this section separately presents the ex ante load impact projections for medium and</w:t>
      </w:r>
      <w:r>
        <w:t> </w:t>
      </w:r>
      <w:r w:rsidRPr="00B73C21">
        <w:t>large customers proj</w:t>
      </w:r>
      <w:r>
        <w:t>ected to receive service under SD</w:t>
      </w:r>
      <w:r w:rsidRPr="00B73C21">
        <w:t xml:space="preserve">G&amp;E’s </w:t>
      </w:r>
      <w:r>
        <w:t xml:space="preserve">default </w:t>
      </w:r>
      <w:r w:rsidRPr="00B73C21">
        <w:t>CPP tariff.</w:t>
      </w:r>
      <w:r>
        <w:t xml:space="preserve"> </w:t>
      </w:r>
      <w:r w:rsidRPr="00B73C21">
        <w:t xml:space="preserve"> </w:t>
      </w:r>
      <w:r>
        <w:t xml:space="preserve">For simplicity, all current participants are referred to as large, although some currently do not meet the official definition. </w:t>
      </w:r>
      <w:r w:rsidRPr="00B73C21">
        <w:t xml:space="preserve"> </w:t>
      </w:r>
      <w:r>
        <w:t>L</w:t>
      </w:r>
      <w:r w:rsidRPr="00B73C21">
        <w:t xml:space="preserve">oad reduction capability is summarized </w:t>
      </w:r>
      <w:r>
        <w:t>for each segment under</w:t>
      </w:r>
      <w:r w:rsidRPr="00B73C21">
        <w:t xml:space="preserve"> annual system peak day condition</w:t>
      </w:r>
      <w:r>
        <w:t>s for</w:t>
      </w:r>
      <w:r w:rsidRPr="00B73C21">
        <w:t xml:space="preserve"> </w:t>
      </w:r>
      <w:r>
        <w:t xml:space="preserve">a </w:t>
      </w:r>
      <w:r w:rsidRPr="00B73C21">
        <w:t>1-in-2 and a 1</w:t>
      </w:r>
      <w:r>
        <w:t>-in-10 weather year for the 2012 to 2023</w:t>
      </w:r>
      <w:r w:rsidRPr="00B73C21">
        <w:t xml:space="preserve"> period. </w:t>
      </w:r>
      <w:r>
        <w:t xml:space="preserve"> This section presents program level impacts – that is, demand reduction capability is not adjusted for dual enrollment of CPP participants in other DR programs.  </w:t>
      </w:r>
      <w:r w:rsidRPr="006754B7">
        <w:t xml:space="preserve">Appendix </w:t>
      </w:r>
      <w:r w:rsidRPr="008F6B48">
        <w:t>D</w:t>
      </w:r>
      <w:r>
        <w:t xml:space="preserve"> presents tables with the portfolio adjusted demand reductions, which are calculated to avoid double counting of load impacts associated with customers enrolled in more than one program.     </w:t>
      </w:r>
    </w:p>
    <w:p w:rsidR="008D48E1" w:rsidRDefault="008D48E1" w:rsidP="008D48E1">
      <w:pPr>
        <w:pStyle w:val="Heading2"/>
      </w:pPr>
      <w:bookmarkStart w:id="211" w:name="_Toc350876899"/>
      <w:bookmarkStart w:id="212" w:name="_Toc351370133"/>
      <w:bookmarkStart w:id="213" w:name="_Toc352323666"/>
      <w:r w:rsidRPr="000B0498">
        <w:t>Large</w:t>
      </w:r>
      <w:r>
        <w:t xml:space="preserve"> C&amp;I Ex Ante Impacts</w:t>
      </w:r>
      <w:bookmarkEnd w:id="211"/>
      <w:bookmarkEnd w:id="212"/>
      <w:bookmarkEnd w:id="213"/>
    </w:p>
    <w:p w:rsidR="008D48E1" w:rsidRDefault="008D48E1" w:rsidP="008D48E1">
      <w:pPr>
        <w:pStyle w:val="BodyParagraph"/>
      </w:pPr>
      <w:r>
        <w:t xml:space="preserve">Overall, </w:t>
      </w:r>
      <w:r w:rsidRPr="00133E49">
        <w:t>1,</w:t>
      </w:r>
      <w:r>
        <w:t>144 l</w:t>
      </w:r>
      <w:r w:rsidRPr="005F4F90">
        <w:t>arge customers</w:t>
      </w:r>
      <w:r>
        <w:t xml:space="preserve"> were enrolled in default CPP in 2012.  In total, 76% of current participants have been enrolled on default CPP since 2008 and have experienced 17 weekday events since enrolling.  </w:t>
      </w:r>
    </w:p>
    <w:p w:rsidR="008D48E1" w:rsidRDefault="008D48E1" w:rsidP="008D48E1">
      <w:pPr>
        <w:pStyle w:val="BodyParagraph"/>
      </w:pPr>
      <w:r>
        <w:t>Table 9-1 shows SDG&amp;E’s enrollment projections for large customers through 2023.  The forecasted year-to-year change in enrollment is minimal and simply reflects the expected growth of SDG&amp;E’s large customer population.</w:t>
      </w:r>
    </w:p>
    <w:p w:rsidR="008D48E1" w:rsidRPr="000B0498" w:rsidRDefault="008D48E1" w:rsidP="008D48E1">
      <w:pPr>
        <w:pStyle w:val="TableFigureCaption"/>
      </w:pPr>
      <w:r w:rsidRPr="000B0498">
        <w:lastRenderedPageBreak/>
        <w:t xml:space="preserve">Table 9-1: SDG&amp;E Enrollment Projections for Large CPP Customers </w:t>
      </w:r>
      <w:r w:rsidRPr="000B0498">
        <w:br/>
        <w:t>by Forecast Year and Month</w:t>
      </w:r>
    </w:p>
    <w:tbl>
      <w:tblPr>
        <w:tblW w:w="0" w:type="auto"/>
        <w:jc w:val="center"/>
        <w:tblLayout w:type="fixed"/>
        <w:tblLook w:val="04A0" w:firstRow="1" w:lastRow="0" w:firstColumn="1" w:lastColumn="0" w:noHBand="0" w:noVBand="1"/>
      </w:tblPr>
      <w:tblGrid>
        <w:gridCol w:w="943"/>
        <w:gridCol w:w="639"/>
        <w:gridCol w:w="714"/>
        <w:gridCol w:w="714"/>
        <w:gridCol w:w="714"/>
        <w:gridCol w:w="716"/>
        <w:gridCol w:w="716"/>
        <w:gridCol w:w="716"/>
        <w:gridCol w:w="716"/>
        <w:gridCol w:w="716"/>
        <w:gridCol w:w="716"/>
        <w:gridCol w:w="716"/>
        <w:gridCol w:w="710"/>
      </w:tblGrid>
      <w:tr w:rsidR="008D48E1" w:rsidRPr="008629BE" w:rsidTr="00A97AA9">
        <w:trPr>
          <w:trHeight w:val="600"/>
          <w:jc w:val="center"/>
        </w:trPr>
        <w:tc>
          <w:tcPr>
            <w:tcW w:w="943" w:type="dxa"/>
            <w:tcBorders>
              <w:top w:val="single" w:sz="4" w:space="0" w:color="auto"/>
              <w:left w:val="single" w:sz="4" w:space="0" w:color="auto"/>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Forecast Year</w:t>
            </w:r>
          </w:p>
        </w:tc>
        <w:tc>
          <w:tcPr>
            <w:tcW w:w="639" w:type="dxa"/>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Jan</w:t>
            </w:r>
          </w:p>
        </w:tc>
        <w:tc>
          <w:tcPr>
            <w:tcW w:w="714" w:type="dxa"/>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Feb</w:t>
            </w:r>
          </w:p>
        </w:tc>
        <w:tc>
          <w:tcPr>
            <w:tcW w:w="714" w:type="dxa"/>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Mar</w:t>
            </w:r>
          </w:p>
        </w:tc>
        <w:tc>
          <w:tcPr>
            <w:tcW w:w="714" w:type="dxa"/>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Apr</w:t>
            </w:r>
          </w:p>
        </w:tc>
        <w:tc>
          <w:tcPr>
            <w:tcW w:w="716" w:type="dxa"/>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May</w:t>
            </w:r>
          </w:p>
        </w:tc>
        <w:tc>
          <w:tcPr>
            <w:tcW w:w="716" w:type="dxa"/>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Jun</w:t>
            </w:r>
          </w:p>
        </w:tc>
        <w:tc>
          <w:tcPr>
            <w:tcW w:w="716" w:type="dxa"/>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Jul</w:t>
            </w:r>
          </w:p>
        </w:tc>
        <w:tc>
          <w:tcPr>
            <w:tcW w:w="716" w:type="dxa"/>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Aug</w:t>
            </w:r>
          </w:p>
        </w:tc>
        <w:tc>
          <w:tcPr>
            <w:tcW w:w="716" w:type="dxa"/>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Sep</w:t>
            </w:r>
          </w:p>
        </w:tc>
        <w:tc>
          <w:tcPr>
            <w:tcW w:w="716" w:type="dxa"/>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Oct</w:t>
            </w:r>
          </w:p>
        </w:tc>
        <w:tc>
          <w:tcPr>
            <w:tcW w:w="716" w:type="dxa"/>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Nov</w:t>
            </w:r>
          </w:p>
        </w:tc>
        <w:tc>
          <w:tcPr>
            <w:tcW w:w="710" w:type="dxa"/>
            <w:tcBorders>
              <w:top w:val="single" w:sz="4" w:space="0" w:color="auto"/>
              <w:left w:val="nil"/>
              <w:bottom w:val="single" w:sz="4" w:space="0" w:color="auto"/>
              <w:right w:val="single" w:sz="4" w:space="0" w:color="auto"/>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Dec</w:t>
            </w:r>
          </w:p>
        </w:tc>
      </w:tr>
      <w:tr w:rsidR="008D48E1" w:rsidRPr="008629BE" w:rsidTr="005608E9">
        <w:trPr>
          <w:trHeight w:val="300"/>
          <w:jc w:val="center"/>
        </w:trPr>
        <w:tc>
          <w:tcPr>
            <w:tcW w:w="943" w:type="dxa"/>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2013</w:t>
            </w:r>
          </w:p>
        </w:tc>
        <w:tc>
          <w:tcPr>
            <w:tcW w:w="639"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1,143</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1,079</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1,080</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1,083</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1,083</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1,084</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1,085</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1,086</w:t>
            </w:r>
          </w:p>
        </w:tc>
        <w:tc>
          <w:tcPr>
            <w:tcW w:w="710"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1,086</w:t>
            </w:r>
          </w:p>
        </w:tc>
      </w:tr>
      <w:tr w:rsidR="008D48E1" w:rsidRPr="008629BE" w:rsidTr="005608E9">
        <w:trPr>
          <w:trHeight w:val="300"/>
          <w:jc w:val="center"/>
        </w:trPr>
        <w:tc>
          <w:tcPr>
            <w:tcW w:w="943" w:type="dxa"/>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bottom"/>
            <w:hideMark/>
          </w:tcPr>
          <w:p w:rsidR="008D48E1" w:rsidRPr="008629BE" w:rsidRDefault="008D48E1" w:rsidP="005608E9">
            <w:pPr>
              <w:pStyle w:val="TableText"/>
              <w:rPr>
                <w:rFonts w:cs="Arial"/>
                <w:color w:val="000000"/>
                <w:szCs w:val="18"/>
              </w:rPr>
            </w:pPr>
            <w:r w:rsidRPr="008629BE">
              <w:rPr>
                <w:rFonts w:cs="Arial"/>
                <w:color w:val="000000"/>
                <w:szCs w:val="18"/>
              </w:rPr>
              <w:t>2014</w:t>
            </w:r>
          </w:p>
        </w:tc>
        <w:tc>
          <w:tcPr>
            <w:tcW w:w="639"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1,090</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1,091</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1,091</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1,092</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1,095</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1,096</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1,096</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1,097</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1,100</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1,102</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1,103</w:t>
            </w:r>
          </w:p>
        </w:tc>
        <w:tc>
          <w:tcPr>
            <w:tcW w:w="710"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1,104</w:t>
            </w:r>
          </w:p>
        </w:tc>
      </w:tr>
      <w:tr w:rsidR="008D48E1" w:rsidRPr="008629BE" w:rsidTr="005608E9">
        <w:trPr>
          <w:trHeight w:val="300"/>
          <w:jc w:val="center"/>
        </w:trPr>
        <w:tc>
          <w:tcPr>
            <w:tcW w:w="943" w:type="dxa"/>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bottom"/>
            <w:hideMark/>
          </w:tcPr>
          <w:p w:rsidR="008D48E1" w:rsidRPr="008629BE" w:rsidRDefault="008D48E1" w:rsidP="005608E9">
            <w:pPr>
              <w:pStyle w:val="TableText"/>
              <w:rPr>
                <w:rFonts w:cs="Arial"/>
                <w:color w:val="000000"/>
                <w:szCs w:val="18"/>
              </w:rPr>
            </w:pPr>
            <w:r w:rsidRPr="008629BE">
              <w:rPr>
                <w:rFonts w:cs="Arial"/>
                <w:color w:val="000000"/>
                <w:szCs w:val="18"/>
              </w:rPr>
              <w:t>2015</w:t>
            </w:r>
          </w:p>
        </w:tc>
        <w:tc>
          <w:tcPr>
            <w:tcW w:w="639"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1,104</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1,107</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1,107</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1,109</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1,110</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1,110</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1,113</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1,114</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1,114</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1,117</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1,117</w:t>
            </w:r>
          </w:p>
        </w:tc>
        <w:tc>
          <w:tcPr>
            <w:tcW w:w="710"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1,118</w:t>
            </w:r>
          </w:p>
        </w:tc>
      </w:tr>
      <w:tr w:rsidR="008D48E1" w:rsidRPr="008629BE" w:rsidTr="005608E9">
        <w:trPr>
          <w:trHeight w:val="300"/>
          <w:jc w:val="center"/>
        </w:trPr>
        <w:tc>
          <w:tcPr>
            <w:tcW w:w="943" w:type="dxa"/>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bottom"/>
            <w:hideMark/>
          </w:tcPr>
          <w:p w:rsidR="008D48E1" w:rsidRPr="008629BE" w:rsidRDefault="008D48E1" w:rsidP="005608E9">
            <w:pPr>
              <w:pStyle w:val="TableText"/>
              <w:rPr>
                <w:rFonts w:cs="Arial"/>
                <w:color w:val="000000"/>
                <w:szCs w:val="18"/>
              </w:rPr>
            </w:pPr>
            <w:r w:rsidRPr="008629BE">
              <w:rPr>
                <w:rFonts w:cs="Arial"/>
                <w:color w:val="000000"/>
                <w:szCs w:val="18"/>
              </w:rPr>
              <w:t>2016</w:t>
            </w:r>
          </w:p>
        </w:tc>
        <w:tc>
          <w:tcPr>
            <w:tcW w:w="639"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1,119</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1,120</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1,122</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1,123</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1,124</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1,126</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1,127</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1,128</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1,129</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1,131</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1,132</w:t>
            </w:r>
          </w:p>
        </w:tc>
        <w:tc>
          <w:tcPr>
            <w:tcW w:w="710"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1,133</w:t>
            </w:r>
          </w:p>
        </w:tc>
      </w:tr>
      <w:tr w:rsidR="008D48E1" w:rsidRPr="008629BE" w:rsidTr="005608E9">
        <w:trPr>
          <w:trHeight w:val="300"/>
          <w:jc w:val="center"/>
        </w:trPr>
        <w:tc>
          <w:tcPr>
            <w:tcW w:w="943" w:type="dxa"/>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bottom"/>
            <w:hideMark/>
          </w:tcPr>
          <w:p w:rsidR="008D48E1" w:rsidRPr="008629BE" w:rsidRDefault="008D48E1" w:rsidP="005608E9">
            <w:pPr>
              <w:pStyle w:val="TableText"/>
              <w:rPr>
                <w:rFonts w:cs="Arial"/>
                <w:color w:val="000000"/>
                <w:szCs w:val="18"/>
              </w:rPr>
            </w:pPr>
            <w:r w:rsidRPr="008629BE">
              <w:rPr>
                <w:rFonts w:cs="Arial"/>
                <w:color w:val="000000"/>
                <w:szCs w:val="18"/>
              </w:rPr>
              <w:t>2017</w:t>
            </w:r>
          </w:p>
        </w:tc>
        <w:tc>
          <w:tcPr>
            <w:tcW w:w="639"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1,135</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1,136</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1,137</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1,138</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1,140</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1,141</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1,142</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1,144</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1,145</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1,146</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1,148</w:t>
            </w:r>
          </w:p>
        </w:tc>
        <w:tc>
          <w:tcPr>
            <w:tcW w:w="710"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1,149</w:t>
            </w:r>
          </w:p>
        </w:tc>
      </w:tr>
      <w:tr w:rsidR="008D48E1" w:rsidRPr="008629BE" w:rsidTr="005608E9">
        <w:trPr>
          <w:trHeight w:val="300"/>
          <w:jc w:val="center"/>
        </w:trPr>
        <w:tc>
          <w:tcPr>
            <w:tcW w:w="943" w:type="dxa"/>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bottom"/>
            <w:hideMark/>
          </w:tcPr>
          <w:p w:rsidR="008D48E1" w:rsidRPr="008629BE" w:rsidRDefault="008D48E1" w:rsidP="005608E9">
            <w:pPr>
              <w:pStyle w:val="TableText"/>
              <w:rPr>
                <w:rFonts w:cs="Arial"/>
                <w:color w:val="000000"/>
                <w:szCs w:val="18"/>
              </w:rPr>
            </w:pPr>
            <w:r w:rsidRPr="008629BE">
              <w:rPr>
                <w:rFonts w:cs="Arial"/>
                <w:color w:val="000000"/>
                <w:szCs w:val="18"/>
              </w:rPr>
              <w:t>2018</w:t>
            </w:r>
          </w:p>
        </w:tc>
        <w:tc>
          <w:tcPr>
            <w:tcW w:w="639"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1,150</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1,152</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1,153</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1,154</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1,155</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1,157</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1,158</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1,159</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1,161</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1,162</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1,163</w:t>
            </w:r>
          </w:p>
        </w:tc>
        <w:tc>
          <w:tcPr>
            <w:tcW w:w="710"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1,165</w:t>
            </w:r>
          </w:p>
        </w:tc>
      </w:tr>
      <w:tr w:rsidR="008D48E1" w:rsidRPr="008629BE" w:rsidTr="005608E9">
        <w:trPr>
          <w:trHeight w:val="300"/>
          <w:jc w:val="center"/>
        </w:trPr>
        <w:tc>
          <w:tcPr>
            <w:tcW w:w="943" w:type="dxa"/>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bottom"/>
            <w:hideMark/>
          </w:tcPr>
          <w:p w:rsidR="008D48E1" w:rsidRPr="008629BE" w:rsidRDefault="008D48E1" w:rsidP="005608E9">
            <w:pPr>
              <w:pStyle w:val="TableText"/>
              <w:rPr>
                <w:rFonts w:cs="Arial"/>
                <w:color w:val="000000"/>
                <w:szCs w:val="18"/>
              </w:rPr>
            </w:pPr>
            <w:r w:rsidRPr="008629BE">
              <w:rPr>
                <w:rFonts w:cs="Arial"/>
                <w:color w:val="000000"/>
                <w:szCs w:val="18"/>
              </w:rPr>
              <w:t>2019</w:t>
            </w:r>
          </w:p>
        </w:tc>
        <w:tc>
          <w:tcPr>
            <w:tcW w:w="639"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1,166</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1,167</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1,169</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1,170</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1,171</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1,173</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1,174</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1,175</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1,177</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1,178</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1,179</w:t>
            </w:r>
          </w:p>
        </w:tc>
        <w:tc>
          <w:tcPr>
            <w:tcW w:w="710"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1,181</w:t>
            </w:r>
          </w:p>
        </w:tc>
      </w:tr>
      <w:tr w:rsidR="008D48E1" w:rsidRPr="008629BE" w:rsidTr="005608E9">
        <w:trPr>
          <w:trHeight w:val="300"/>
          <w:jc w:val="center"/>
        </w:trPr>
        <w:tc>
          <w:tcPr>
            <w:tcW w:w="943" w:type="dxa"/>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bottom"/>
            <w:hideMark/>
          </w:tcPr>
          <w:p w:rsidR="008D48E1" w:rsidRPr="008629BE" w:rsidRDefault="008D48E1" w:rsidP="005608E9">
            <w:pPr>
              <w:pStyle w:val="TableText"/>
              <w:rPr>
                <w:rFonts w:cs="Arial"/>
                <w:color w:val="000000"/>
                <w:szCs w:val="18"/>
              </w:rPr>
            </w:pPr>
            <w:r w:rsidRPr="008629BE">
              <w:rPr>
                <w:rFonts w:cs="Arial"/>
                <w:color w:val="000000"/>
                <w:szCs w:val="18"/>
              </w:rPr>
              <w:t>2020</w:t>
            </w:r>
          </w:p>
        </w:tc>
        <w:tc>
          <w:tcPr>
            <w:tcW w:w="639"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1,182</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1,184</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1,185</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1,186</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1,188</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1,189</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1,190</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1,192</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1,193</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1,194</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1,196</w:t>
            </w:r>
          </w:p>
        </w:tc>
        <w:tc>
          <w:tcPr>
            <w:tcW w:w="710"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1,197</w:t>
            </w:r>
          </w:p>
        </w:tc>
      </w:tr>
      <w:tr w:rsidR="008D48E1" w:rsidRPr="008629BE" w:rsidTr="005608E9">
        <w:trPr>
          <w:trHeight w:val="300"/>
          <w:jc w:val="center"/>
        </w:trPr>
        <w:tc>
          <w:tcPr>
            <w:tcW w:w="943" w:type="dxa"/>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bottom"/>
            <w:hideMark/>
          </w:tcPr>
          <w:p w:rsidR="008D48E1" w:rsidRPr="008629BE" w:rsidRDefault="008D48E1" w:rsidP="005608E9">
            <w:pPr>
              <w:pStyle w:val="TableText"/>
              <w:rPr>
                <w:rFonts w:cs="Arial"/>
                <w:color w:val="000000"/>
                <w:szCs w:val="18"/>
              </w:rPr>
            </w:pPr>
            <w:r w:rsidRPr="008629BE">
              <w:rPr>
                <w:rFonts w:cs="Arial"/>
                <w:color w:val="000000"/>
                <w:szCs w:val="18"/>
              </w:rPr>
              <w:t>2021</w:t>
            </w:r>
          </w:p>
        </w:tc>
        <w:tc>
          <w:tcPr>
            <w:tcW w:w="639"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1,198</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1,200</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1,201</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1,203</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1,204</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1,205</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1,207</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1,208</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1,209</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1,211</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1,212</w:t>
            </w:r>
          </w:p>
        </w:tc>
        <w:tc>
          <w:tcPr>
            <w:tcW w:w="710"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1,214</w:t>
            </w:r>
          </w:p>
        </w:tc>
      </w:tr>
      <w:tr w:rsidR="008D48E1" w:rsidRPr="008629BE" w:rsidTr="005608E9">
        <w:trPr>
          <w:trHeight w:val="300"/>
          <w:jc w:val="center"/>
        </w:trPr>
        <w:tc>
          <w:tcPr>
            <w:tcW w:w="943" w:type="dxa"/>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bottom"/>
            <w:hideMark/>
          </w:tcPr>
          <w:p w:rsidR="008D48E1" w:rsidRPr="008629BE" w:rsidRDefault="008D48E1" w:rsidP="005608E9">
            <w:pPr>
              <w:pStyle w:val="TableText"/>
              <w:rPr>
                <w:rFonts w:cs="Arial"/>
                <w:color w:val="000000"/>
                <w:szCs w:val="18"/>
              </w:rPr>
            </w:pPr>
            <w:r w:rsidRPr="008629BE">
              <w:rPr>
                <w:rFonts w:cs="Arial"/>
                <w:color w:val="000000"/>
                <w:szCs w:val="18"/>
              </w:rPr>
              <w:t>2022</w:t>
            </w:r>
          </w:p>
        </w:tc>
        <w:tc>
          <w:tcPr>
            <w:tcW w:w="639"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1,215</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1,216</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1,218</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1,219</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1,221</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1,222</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1,223</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1,225</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1,226</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1,228</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1,229</w:t>
            </w:r>
          </w:p>
        </w:tc>
        <w:tc>
          <w:tcPr>
            <w:tcW w:w="710"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1,230</w:t>
            </w:r>
          </w:p>
        </w:tc>
      </w:tr>
      <w:tr w:rsidR="008D48E1" w:rsidRPr="008629BE" w:rsidTr="005608E9">
        <w:trPr>
          <w:trHeight w:val="300"/>
          <w:jc w:val="center"/>
        </w:trPr>
        <w:tc>
          <w:tcPr>
            <w:tcW w:w="943" w:type="dxa"/>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bottom"/>
            <w:hideMark/>
          </w:tcPr>
          <w:p w:rsidR="008D48E1" w:rsidRPr="008629BE" w:rsidRDefault="008D48E1" w:rsidP="005608E9">
            <w:pPr>
              <w:pStyle w:val="TableText"/>
              <w:rPr>
                <w:rFonts w:cs="Arial"/>
                <w:color w:val="000000"/>
                <w:szCs w:val="18"/>
              </w:rPr>
            </w:pPr>
            <w:r w:rsidRPr="008629BE">
              <w:rPr>
                <w:rFonts w:cs="Arial"/>
                <w:color w:val="000000"/>
                <w:szCs w:val="18"/>
              </w:rPr>
              <w:t>2023</w:t>
            </w:r>
          </w:p>
        </w:tc>
        <w:tc>
          <w:tcPr>
            <w:tcW w:w="639"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1,232</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1,233</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1,235</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1,236</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1,237</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1,239</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1,240</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1,242</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1,243</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1,244</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1,246</w:t>
            </w:r>
          </w:p>
        </w:tc>
        <w:tc>
          <w:tcPr>
            <w:tcW w:w="710"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1,247</w:t>
            </w:r>
          </w:p>
        </w:tc>
      </w:tr>
      <w:tr w:rsidR="008D48E1" w:rsidRPr="008629BE" w:rsidTr="005608E9">
        <w:trPr>
          <w:trHeight w:val="300"/>
          <w:jc w:val="center"/>
        </w:trPr>
        <w:tc>
          <w:tcPr>
            <w:tcW w:w="943" w:type="dxa"/>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bottom"/>
            <w:hideMark/>
          </w:tcPr>
          <w:p w:rsidR="008D48E1" w:rsidRPr="008629BE" w:rsidRDefault="008D48E1" w:rsidP="005608E9">
            <w:pPr>
              <w:pStyle w:val="TableText"/>
              <w:rPr>
                <w:rFonts w:cs="Arial"/>
                <w:color w:val="000000"/>
                <w:szCs w:val="18"/>
              </w:rPr>
            </w:pPr>
            <w:r w:rsidRPr="008629BE">
              <w:rPr>
                <w:rFonts w:cs="Arial"/>
                <w:color w:val="000000"/>
                <w:szCs w:val="18"/>
              </w:rPr>
              <w:t>2023</w:t>
            </w:r>
          </w:p>
        </w:tc>
        <w:tc>
          <w:tcPr>
            <w:tcW w:w="639"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1,232</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1,233</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1,235</w:t>
            </w:r>
          </w:p>
        </w:tc>
        <w:tc>
          <w:tcPr>
            <w:tcW w:w="714"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1,236</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1,237</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1,239</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1,240</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1,242</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1,243</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1,244</w:t>
            </w:r>
          </w:p>
        </w:tc>
        <w:tc>
          <w:tcPr>
            <w:tcW w:w="716"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1,246</w:t>
            </w:r>
          </w:p>
        </w:tc>
        <w:tc>
          <w:tcPr>
            <w:tcW w:w="710" w:type="dxa"/>
            <w:tcBorders>
              <w:top w:val="single" w:sz="4" w:space="0" w:color="auto"/>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color w:val="000000"/>
                <w:szCs w:val="18"/>
              </w:rPr>
            </w:pPr>
            <w:r w:rsidRPr="008629BE">
              <w:rPr>
                <w:rFonts w:cs="Arial"/>
                <w:color w:val="000000"/>
                <w:szCs w:val="18"/>
              </w:rPr>
              <w:t>1,247</w:t>
            </w:r>
          </w:p>
        </w:tc>
      </w:tr>
    </w:tbl>
    <w:p w:rsidR="008D48E1" w:rsidRDefault="008D48E1" w:rsidP="008D48E1">
      <w:pPr>
        <w:pStyle w:val="BodyParaAfterTableFigure"/>
      </w:pPr>
      <w:r>
        <w:t xml:space="preserve">Table 9-2 summarizes the aggregate load impact estimates for large customers on SDG&amp;E’s CPP tariff for each forecast year under both 1-in-2 and 1-in-10 weather year scenarios.  The table shows the average load reduction across the 11 AM to 6 PM event period for an August monthly system peak day.  As mentioned earlier, the results do not reflect adjustments for dual enrollment on other DR programs.  </w:t>
      </w:r>
      <w:r w:rsidRPr="008F0E66">
        <w:t xml:space="preserve">The </w:t>
      </w:r>
      <w:r>
        <w:t>portfolio-adjusted</w:t>
      </w:r>
      <w:r w:rsidRPr="008F0E66">
        <w:t xml:space="preserve"> estimates are summarized in </w:t>
      </w:r>
      <w:r w:rsidRPr="00877990">
        <w:t>Appendix C.</w:t>
      </w:r>
      <w:r>
        <w:t xml:space="preserve"> </w:t>
      </w:r>
    </w:p>
    <w:p w:rsidR="008D48E1" w:rsidRDefault="008D48E1" w:rsidP="008D48E1">
      <w:pPr>
        <w:pStyle w:val="BodyParagraph"/>
      </w:pPr>
      <w:r>
        <w:t xml:space="preserve">Differences in demand reductions from year to year are minimal and are the direct result of expected growth of SDG&amp;E’s large customer population.  The aggregate 1-in-2 weather year demand reductions forecasted for 2013, 16.7 MW, do not differ substantially from the 2023 forecast, 19.2 MW.  On a percentage basis, the demand reductions are </w:t>
      </w:r>
      <w:r w:rsidR="007F182D">
        <w:t xml:space="preserve">nearly </w:t>
      </w:r>
      <w:r>
        <w:t>identical to those observed in 2012 for the average event, 5.9%, for all forecast years and weather year conditions.  The percent demand reduction does not change across forecast years because the industry mix is expected to remain stable.  It does not change across weather years because percent demand reductions did not vary with weather for ex post events.  The aggregate impact does vary, however, because it reflects higher reference loads under 1-in-10 and 1-in-2 weather year conditions.  The differences are minimal.  For example, the 2013 1-in-2 weather year impact is forecasted to be 16.7 MW versus 17.2 MW for 1-in-10 weather year conditions.</w:t>
      </w:r>
    </w:p>
    <w:p w:rsidR="008D48E1" w:rsidRDefault="008D48E1" w:rsidP="008D48E1">
      <w:pPr>
        <w:pStyle w:val="BodyParagraph"/>
        <w:rPr>
          <w:rFonts w:ascii="Calibri" w:eastAsia="Times New Roman" w:hAnsi="Calibri" w:cs="Times New Roman"/>
          <w:color w:val="000000"/>
        </w:rPr>
      </w:pPr>
      <w:r w:rsidRPr="0002718D">
        <w:t>The portfolio</w:t>
      </w:r>
      <w:r>
        <w:t>-</w:t>
      </w:r>
      <w:r w:rsidRPr="0002718D">
        <w:t xml:space="preserve">adjusted load impacts exclude customers dually enrolled in BIP or aggregator programs, which are among the most responsive participants.  </w:t>
      </w:r>
      <w:r>
        <w:t>However, the difference between program and portfolio adjusted impacts for SDG&amp;E is very small, less than 0.1 MWs, due to the small number of dually enrolled customers.  In 2012, only 6 of SDG&amp;E’s 1,1</w:t>
      </w:r>
      <w:r w:rsidR="007F182D">
        <w:t>17</w:t>
      </w:r>
      <w:r>
        <w:t xml:space="preserve"> default CPP participants were dually enrolled. </w:t>
      </w:r>
    </w:p>
    <w:p w:rsidR="008D48E1" w:rsidRDefault="008D48E1" w:rsidP="008D48E1">
      <w:pPr>
        <w:pStyle w:val="BodyParagraph"/>
      </w:pPr>
    </w:p>
    <w:p w:rsidR="008D48E1" w:rsidRDefault="008D48E1" w:rsidP="008D48E1">
      <w:pPr>
        <w:pStyle w:val="TableFigureCaption"/>
      </w:pPr>
      <w:r>
        <w:lastRenderedPageBreak/>
        <w:t xml:space="preserve">Table 9-2: SDG&amp;E August Peak Day CPP Program Load Impacts for Large Customers </w:t>
      </w:r>
      <w:r>
        <w:br/>
        <w:t>(Hourly Average Reduction in MW Over Event Day Period 1</w:t>
      </w:r>
      <w:r w:rsidR="00497509">
        <w:t xml:space="preserve">1 AM to </w:t>
      </w:r>
      <w:r>
        <w:t>6 PM)</w:t>
      </w:r>
    </w:p>
    <w:tbl>
      <w:tblPr>
        <w:tblW w:w="5073" w:type="pct"/>
        <w:tblLook w:val="04A0" w:firstRow="1" w:lastRow="0" w:firstColumn="1" w:lastColumn="0" w:noHBand="0" w:noVBand="1"/>
      </w:tblPr>
      <w:tblGrid>
        <w:gridCol w:w="1235"/>
        <w:gridCol w:w="816"/>
        <w:gridCol w:w="1117"/>
        <w:gridCol w:w="1336"/>
        <w:gridCol w:w="1336"/>
        <w:gridCol w:w="1336"/>
        <w:gridCol w:w="1175"/>
        <w:gridCol w:w="1233"/>
      </w:tblGrid>
      <w:tr w:rsidR="0004199B" w:rsidRPr="0004199B" w:rsidTr="0004199B">
        <w:trPr>
          <w:trHeight w:val="900"/>
        </w:trPr>
        <w:tc>
          <w:tcPr>
            <w:tcW w:w="644" w:type="pct"/>
            <w:vMerge w:val="restart"/>
            <w:tcBorders>
              <w:top w:val="single" w:sz="4" w:space="0" w:color="auto"/>
              <w:left w:val="single" w:sz="4" w:space="0" w:color="auto"/>
              <w:bottom w:val="single" w:sz="4" w:space="0" w:color="FFFFFF"/>
              <w:right w:val="single" w:sz="4" w:space="0" w:color="FFFFFF"/>
            </w:tcBorders>
            <w:shd w:val="clear" w:color="000000" w:fill="1F497D"/>
            <w:tcMar>
              <w:left w:w="43" w:type="dxa"/>
              <w:right w:w="43" w:type="dxa"/>
            </w:tcMar>
            <w:vAlign w:val="center"/>
            <w:hideMark/>
          </w:tcPr>
          <w:p w:rsidR="0004199B" w:rsidRPr="0004199B" w:rsidRDefault="0004199B" w:rsidP="0035730B">
            <w:pPr>
              <w:spacing w:after="0" w:line="240" w:lineRule="auto"/>
              <w:jc w:val="center"/>
              <w:rPr>
                <w:rFonts w:ascii="Arial" w:eastAsia="Times New Roman" w:hAnsi="Arial" w:cs="Arial"/>
                <w:b/>
                <w:bCs/>
                <w:color w:val="FFFFFF"/>
                <w:sz w:val="18"/>
                <w:szCs w:val="18"/>
              </w:rPr>
            </w:pPr>
            <w:r w:rsidRPr="0004199B">
              <w:rPr>
                <w:rFonts w:ascii="Arial" w:eastAsia="Times New Roman" w:hAnsi="Arial" w:cs="Arial"/>
                <w:b/>
                <w:bCs/>
                <w:color w:val="FFFFFF"/>
                <w:sz w:val="18"/>
                <w:szCs w:val="18"/>
              </w:rPr>
              <w:t>Weather Year</w:t>
            </w:r>
          </w:p>
        </w:tc>
        <w:tc>
          <w:tcPr>
            <w:tcW w:w="425" w:type="pct"/>
            <w:vMerge w:val="restart"/>
            <w:tcBorders>
              <w:top w:val="single" w:sz="4" w:space="0" w:color="auto"/>
              <w:left w:val="single" w:sz="4" w:space="0" w:color="FFFFFF"/>
              <w:bottom w:val="single" w:sz="4" w:space="0" w:color="FFFFFF"/>
              <w:right w:val="single" w:sz="4" w:space="0" w:color="FFFFFF"/>
            </w:tcBorders>
            <w:shd w:val="clear" w:color="000000" w:fill="1F497D"/>
            <w:tcMar>
              <w:left w:w="43" w:type="dxa"/>
              <w:right w:w="43" w:type="dxa"/>
            </w:tcMar>
            <w:vAlign w:val="center"/>
            <w:hideMark/>
          </w:tcPr>
          <w:p w:rsidR="0004199B" w:rsidRPr="0004199B" w:rsidRDefault="0004199B" w:rsidP="0035730B">
            <w:pPr>
              <w:spacing w:after="0" w:line="240" w:lineRule="auto"/>
              <w:jc w:val="center"/>
              <w:rPr>
                <w:rFonts w:ascii="Arial" w:eastAsia="Times New Roman" w:hAnsi="Arial" w:cs="Arial"/>
                <w:b/>
                <w:bCs/>
                <w:color w:val="FFFFFF"/>
                <w:sz w:val="18"/>
                <w:szCs w:val="18"/>
              </w:rPr>
            </w:pPr>
            <w:r w:rsidRPr="0004199B">
              <w:rPr>
                <w:rFonts w:ascii="Arial" w:eastAsia="Times New Roman" w:hAnsi="Arial" w:cs="Arial"/>
                <w:b/>
                <w:bCs/>
                <w:color w:val="FFFFFF"/>
                <w:sz w:val="18"/>
                <w:szCs w:val="18"/>
              </w:rPr>
              <w:t>Year</w:t>
            </w:r>
          </w:p>
        </w:tc>
        <w:tc>
          <w:tcPr>
            <w:tcW w:w="583" w:type="pct"/>
            <w:vMerge w:val="restart"/>
            <w:tcBorders>
              <w:top w:val="single" w:sz="4" w:space="0" w:color="auto"/>
              <w:left w:val="single" w:sz="4" w:space="0" w:color="FFFFFF"/>
              <w:bottom w:val="single" w:sz="4" w:space="0" w:color="FFFFFF"/>
              <w:right w:val="single" w:sz="4" w:space="0" w:color="FFFFFF"/>
            </w:tcBorders>
            <w:shd w:val="clear" w:color="000000" w:fill="1F497D"/>
            <w:tcMar>
              <w:left w:w="43" w:type="dxa"/>
              <w:right w:w="43" w:type="dxa"/>
            </w:tcMar>
            <w:vAlign w:val="center"/>
            <w:hideMark/>
          </w:tcPr>
          <w:p w:rsidR="0004199B" w:rsidRPr="0004199B" w:rsidRDefault="0004199B" w:rsidP="0035730B">
            <w:pPr>
              <w:spacing w:after="0" w:line="240" w:lineRule="auto"/>
              <w:jc w:val="center"/>
              <w:rPr>
                <w:rFonts w:ascii="Arial" w:eastAsia="Times New Roman" w:hAnsi="Arial" w:cs="Arial"/>
                <w:b/>
                <w:bCs/>
                <w:color w:val="FFFFFF"/>
                <w:sz w:val="18"/>
                <w:szCs w:val="18"/>
              </w:rPr>
            </w:pPr>
            <w:r w:rsidRPr="0004199B">
              <w:rPr>
                <w:rFonts w:ascii="Arial" w:eastAsia="Times New Roman" w:hAnsi="Arial" w:cs="Arial"/>
                <w:b/>
                <w:bCs/>
                <w:color w:val="FFFFFF"/>
                <w:sz w:val="18"/>
                <w:szCs w:val="18"/>
              </w:rPr>
              <w:t>Enrolled Accts (Forecast)</w:t>
            </w:r>
          </w:p>
        </w:tc>
        <w:tc>
          <w:tcPr>
            <w:tcW w:w="697" w:type="pct"/>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04199B" w:rsidRPr="0004199B" w:rsidRDefault="0004199B" w:rsidP="0035730B">
            <w:pPr>
              <w:spacing w:after="0" w:line="240" w:lineRule="auto"/>
              <w:jc w:val="center"/>
              <w:rPr>
                <w:rFonts w:ascii="Arial" w:eastAsia="Times New Roman" w:hAnsi="Arial" w:cs="Arial"/>
                <w:b/>
                <w:bCs/>
                <w:color w:val="FFFFFF"/>
                <w:sz w:val="18"/>
                <w:szCs w:val="18"/>
              </w:rPr>
            </w:pPr>
            <w:r w:rsidRPr="0004199B">
              <w:rPr>
                <w:rFonts w:ascii="Arial" w:eastAsia="Times New Roman" w:hAnsi="Arial" w:cs="Arial"/>
                <w:b/>
                <w:bCs/>
                <w:color w:val="FFFFFF"/>
                <w:sz w:val="18"/>
                <w:szCs w:val="18"/>
              </w:rPr>
              <w:t>Avg. Reference Load</w:t>
            </w:r>
          </w:p>
        </w:tc>
        <w:tc>
          <w:tcPr>
            <w:tcW w:w="697" w:type="pct"/>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04199B" w:rsidRPr="0004199B" w:rsidRDefault="0004199B" w:rsidP="0035730B">
            <w:pPr>
              <w:spacing w:after="0" w:line="240" w:lineRule="auto"/>
              <w:jc w:val="center"/>
              <w:rPr>
                <w:rFonts w:ascii="Arial" w:eastAsia="Times New Roman" w:hAnsi="Arial" w:cs="Arial"/>
                <w:b/>
                <w:bCs/>
                <w:color w:val="FFFFFF"/>
                <w:sz w:val="18"/>
                <w:szCs w:val="18"/>
              </w:rPr>
            </w:pPr>
            <w:r w:rsidRPr="0004199B">
              <w:rPr>
                <w:rFonts w:ascii="Arial" w:eastAsia="Times New Roman" w:hAnsi="Arial" w:cs="Arial"/>
                <w:b/>
                <w:bCs/>
                <w:color w:val="FFFFFF"/>
                <w:sz w:val="18"/>
                <w:szCs w:val="18"/>
              </w:rPr>
              <w:t>Avg. Estimated Load w DR</w:t>
            </w:r>
          </w:p>
        </w:tc>
        <w:tc>
          <w:tcPr>
            <w:tcW w:w="697" w:type="pct"/>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04199B" w:rsidRPr="0004199B" w:rsidRDefault="0004199B" w:rsidP="0035730B">
            <w:pPr>
              <w:spacing w:after="0" w:line="240" w:lineRule="auto"/>
              <w:jc w:val="center"/>
              <w:rPr>
                <w:rFonts w:ascii="Arial" w:eastAsia="Times New Roman" w:hAnsi="Arial" w:cs="Arial"/>
                <w:b/>
                <w:bCs/>
                <w:color w:val="FFFFFF"/>
                <w:sz w:val="18"/>
                <w:szCs w:val="18"/>
              </w:rPr>
            </w:pPr>
            <w:r w:rsidRPr="0004199B">
              <w:rPr>
                <w:rFonts w:ascii="Arial" w:eastAsia="Times New Roman" w:hAnsi="Arial" w:cs="Arial"/>
                <w:b/>
                <w:bCs/>
                <w:color w:val="FFFFFF"/>
                <w:sz w:val="18"/>
                <w:szCs w:val="18"/>
              </w:rPr>
              <w:t>Avg. Load impact</w:t>
            </w:r>
          </w:p>
        </w:tc>
        <w:tc>
          <w:tcPr>
            <w:tcW w:w="613" w:type="pct"/>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04199B" w:rsidRPr="0004199B" w:rsidRDefault="0004199B" w:rsidP="0035730B">
            <w:pPr>
              <w:spacing w:after="0" w:line="240" w:lineRule="auto"/>
              <w:jc w:val="center"/>
              <w:rPr>
                <w:rFonts w:ascii="Arial" w:eastAsia="Times New Roman" w:hAnsi="Arial" w:cs="Arial"/>
                <w:b/>
                <w:bCs/>
                <w:color w:val="FFFFFF"/>
                <w:sz w:val="18"/>
                <w:szCs w:val="18"/>
              </w:rPr>
            </w:pPr>
            <w:r w:rsidRPr="0004199B">
              <w:rPr>
                <w:rFonts w:ascii="Arial" w:eastAsia="Times New Roman" w:hAnsi="Arial" w:cs="Arial"/>
                <w:b/>
                <w:bCs/>
                <w:color w:val="FFFFFF"/>
                <w:sz w:val="18"/>
                <w:szCs w:val="18"/>
              </w:rPr>
              <w:t>% Load Reduction</w:t>
            </w:r>
          </w:p>
        </w:tc>
        <w:tc>
          <w:tcPr>
            <w:tcW w:w="643" w:type="pct"/>
            <w:tcBorders>
              <w:top w:val="single" w:sz="4" w:space="0" w:color="auto"/>
              <w:left w:val="nil"/>
              <w:bottom w:val="single" w:sz="4" w:space="0" w:color="FFFFFF"/>
              <w:right w:val="single" w:sz="4" w:space="0" w:color="auto"/>
            </w:tcBorders>
            <w:shd w:val="clear" w:color="000000" w:fill="1F497D"/>
            <w:tcMar>
              <w:left w:w="43" w:type="dxa"/>
              <w:right w:w="43" w:type="dxa"/>
            </w:tcMar>
            <w:vAlign w:val="center"/>
            <w:hideMark/>
          </w:tcPr>
          <w:p w:rsidR="0004199B" w:rsidRPr="0004199B" w:rsidRDefault="0004199B" w:rsidP="0035730B">
            <w:pPr>
              <w:spacing w:after="0" w:line="240" w:lineRule="auto"/>
              <w:jc w:val="center"/>
              <w:rPr>
                <w:rFonts w:ascii="Arial" w:eastAsia="Times New Roman" w:hAnsi="Arial" w:cs="Arial"/>
                <w:b/>
                <w:bCs/>
                <w:color w:val="FFFFFF"/>
                <w:sz w:val="18"/>
                <w:szCs w:val="18"/>
              </w:rPr>
            </w:pPr>
            <w:r w:rsidRPr="0004199B">
              <w:rPr>
                <w:rFonts w:ascii="Arial" w:eastAsia="Times New Roman" w:hAnsi="Arial" w:cs="Arial"/>
                <w:b/>
                <w:bCs/>
                <w:color w:val="FFFFFF"/>
                <w:sz w:val="18"/>
                <w:szCs w:val="18"/>
              </w:rPr>
              <w:t>Weighted Temp</w:t>
            </w:r>
          </w:p>
        </w:tc>
      </w:tr>
      <w:tr w:rsidR="0004199B" w:rsidRPr="0004199B" w:rsidTr="0004199B">
        <w:trPr>
          <w:trHeight w:val="480"/>
        </w:trPr>
        <w:tc>
          <w:tcPr>
            <w:tcW w:w="644" w:type="pct"/>
            <w:vMerge/>
            <w:tcBorders>
              <w:top w:val="single" w:sz="4" w:space="0" w:color="auto"/>
              <w:left w:val="single" w:sz="4" w:space="0" w:color="auto"/>
              <w:bottom w:val="single" w:sz="4" w:space="0" w:color="FFFFFF"/>
              <w:right w:val="single" w:sz="4" w:space="0" w:color="FFFFFF"/>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b/>
                <w:bCs/>
                <w:color w:val="FFFFFF"/>
                <w:sz w:val="18"/>
                <w:szCs w:val="18"/>
              </w:rPr>
            </w:pPr>
          </w:p>
        </w:tc>
        <w:tc>
          <w:tcPr>
            <w:tcW w:w="425" w:type="pct"/>
            <w:vMerge/>
            <w:tcBorders>
              <w:top w:val="single" w:sz="4" w:space="0" w:color="auto"/>
              <w:left w:val="single" w:sz="4" w:space="0" w:color="FFFFFF"/>
              <w:bottom w:val="single" w:sz="4" w:space="0" w:color="FFFFFF"/>
              <w:right w:val="single" w:sz="4" w:space="0" w:color="FFFFFF"/>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b/>
                <w:bCs/>
                <w:color w:val="FFFFFF"/>
                <w:sz w:val="18"/>
                <w:szCs w:val="18"/>
              </w:rPr>
            </w:pPr>
          </w:p>
        </w:tc>
        <w:tc>
          <w:tcPr>
            <w:tcW w:w="583" w:type="pct"/>
            <w:vMerge/>
            <w:tcBorders>
              <w:top w:val="single" w:sz="4" w:space="0" w:color="auto"/>
              <w:left w:val="single" w:sz="4" w:space="0" w:color="FFFFFF"/>
              <w:bottom w:val="single" w:sz="4" w:space="0" w:color="FFFFFF"/>
              <w:right w:val="single" w:sz="4" w:space="0" w:color="FFFFFF"/>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b/>
                <w:bCs/>
                <w:color w:val="FFFFFF"/>
                <w:sz w:val="18"/>
                <w:szCs w:val="18"/>
              </w:rPr>
            </w:pPr>
          </w:p>
        </w:tc>
        <w:tc>
          <w:tcPr>
            <w:tcW w:w="697" w:type="pct"/>
            <w:tcBorders>
              <w:top w:val="nil"/>
              <w:left w:val="nil"/>
              <w:bottom w:val="nil"/>
              <w:right w:val="single" w:sz="4" w:space="0" w:color="FFFFFF"/>
            </w:tcBorders>
            <w:shd w:val="clear" w:color="000000" w:fill="1F497D"/>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b/>
                <w:bCs/>
                <w:color w:val="FFFFFF"/>
                <w:sz w:val="16"/>
                <w:szCs w:val="16"/>
              </w:rPr>
            </w:pPr>
            <w:r w:rsidRPr="0004199B">
              <w:rPr>
                <w:rFonts w:ascii="Arial" w:eastAsia="Times New Roman" w:hAnsi="Arial" w:cs="Arial"/>
                <w:b/>
                <w:bCs/>
                <w:color w:val="FFFFFF"/>
                <w:sz w:val="16"/>
                <w:szCs w:val="16"/>
              </w:rPr>
              <w:t>MW</w:t>
            </w:r>
            <w:r w:rsidRPr="0004199B">
              <w:rPr>
                <w:rFonts w:ascii="Arial" w:eastAsia="Times New Roman" w:hAnsi="Arial" w:cs="Arial"/>
                <w:b/>
                <w:bCs/>
                <w:color w:val="FFFFFF"/>
                <w:sz w:val="16"/>
                <w:szCs w:val="16"/>
              </w:rPr>
              <w:br/>
              <w:t>11 AM – 6 PM</w:t>
            </w:r>
          </w:p>
        </w:tc>
        <w:tc>
          <w:tcPr>
            <w:tcW w:w="697" w:type="pct"/>
            <w:tcBorders>
              <w:top w:val="nil"/>
              <w:left w:val="nil"/>
              <w:bottom w:val="nil"/>
              <w:right w:val="single" w:sz="4" w:space="0" w:color="FFFFFF"/>
            </w:tcBorders>
            <w:shd w:val="clear" w:color="000000" w:fill="1F497D"/>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b/>
                <w:bCs/>
                <w:color w:val="FFFFFF"/>
                <w:sz w:val="16"/>
                <w:szCs w:val="16"/>
              </w:rPr>
            </w:pPr>
            <w:r w:rsidRPr="0004199B">
              <w:rPr>
                <w:rFonts w:ascii="Arial" w:eastAsia="Times New Roman" w:hAnsi="Arial" w:cs="Arial"/>
                <w:b/>
                <w:bCs/>
                <w:color w:val="FFFFFF"/>
                <w:sz w:val="16"/>
                <w:szCs w:val="16"/>
              </w:rPr>
              <w:t>MW</w:t>
            </w:r>
            <w:r w:rsidRPr="0004199B">
              <w:rPr>
                <w:rFonts w:ascii="Arial" w:eastAsia="Times New Roman" w:hAnsi="Arial" w:cs="Arial"/>
                <w:b/>
                <w:bCs/>
                <w:color w:val="FFFFFF"/>
                <w:sz w:val="16"/>
                <w:szCs w:val="16"/>
              </w:rPr>
              <w:br/>
              <w:t>11 AM – 6 PM</w:t>
            </w:r>
          </w:p>
        </w:tc>
        <w:tc>
          <w:tcPr>
            <w:tcW w:w="697" w:type="pct"/>
            <w:tcBorders>
              <w:top w:val="nil"/>
              <w:left w:val="nil"/>
              <w:bottom w:val="nil"/>
              <w:right w:val="single" w:sz="4" w:space="0" w:color="FFFFFF"/>
            </w:tcBorders>
            <w:shd w:val="clear" w:color="000000" w:fill="1F497D"/>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b/>
                <w:bCs/>
                <w:color w:val="FFFFFF"/>
                <w:sz w:val="16"/>
                <w:szCs w:val="16"/>
              </w:rPr>
            </w:pPr>
            <w:r w:rsidRPr="0004199B">
              <w:rPr>
                <w:rFonts w:ascii="Arial" w:eastAsia="Times New Roman" w:hAnsi="Arial" w:cs="Arial"/>
                <w:b/>
                <w:bCs/>
                <w:color w:val="FFFFFF"/>
                <w:sz w:val="16"/>
                <w:szCs w:val="16"/>
              </w:rPr>
              <w:t>MW</w:t>
            </w:r>
            <w:r w:rsidRPr="0004199B">
              <w:rPr>
                <w:rFonts w:ascii="Arial" w:eastAsia="Times New Roman" w:hAnsi="Arial" w:cs="Arial"/>
                <w:b/>
                <w:bCs/>
                <w:color w:val="FFFFFF"/>
                <w:sz w:val="16"/>
                <w:szCs w:val="16"/>
              </w:rPr>
              <w:br/>
              <w:t>11 AM – 6 PM</w:t>
            </w:r>
          </w:p>
        </w:tc>
        <w:tc>
          <w:tcPr>
            <w:tcW w:w="613" w:type="pct"/>
            <w:tcBorders>
              <w:top w:val="nil"/>
              <w:left w:val="nil"/>
              <w:bottom w:val="nil"/>
              <w:right w:val="single" w:sz="4" w:space="0" w:color="FFFFFF"/>
            </w:tcBorders>
            <w:shd w:val="clear" w:color="000000" w:fill="1F497D"/>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b/>
                <w:bCs/>
                <w:color w:val="FFFFFF"/>
                <w:sz w:val="16"/>
                <w:szCs w:val="16"/>
              </w:rPr>
            </w:pPr>
            <w:r w:rsidRPr="0004199B">
              <w:rPr>
                <w:rFonts w:ascii="Arial" w:eastAsia="Times New Roman" w:hAnsi="Arial" w:cs="Arial"/>
                <w:b/>
                <w:bCs/>
                <w:color w:val="FFFFFF"/>
                <w:sz w:val="16"/>
                <w:szCs w:val="16"/>
              </w:rPr>
              <w:t>MW</w:t>
            </w:r>
            <w:r w:rsidRPr="0004199B">
              <w:rPr>
                <w:rFonts w:ascii="Arial" w:eastAsia="Times New Roman" w:hAnsi="Arial" w:cs="Arial"/>
                <w:b/>
                <w:bCs/>
                <w:color w:val="FFFFFF"/>
                <w:sz w:val="16"/>
                <w:szCs w:val="16"/>
              </w:rPr>
              <w:br/>
              <w:t>11 AM – 6 PM</w:t>
            </w:r>
          </w:p>
        </w:tc>
        <w:tc>
          <w:tcPr>
            <w:tcW w:w="643" w:type="pct"/>
            <w:tcBorders>
              <w:top w:val="nil"/>
              <w:left w:val="nil"/>
              <w:bottom w:val="nil"/>
              <w:right w:val="single" w:sz="4" w:space="0" w:color="auto"/>
            </w:tcBorders>
            <w:shd w:val="clear" w:color="000000" w:fill="1F497D"/>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b/>
                <w:bCs/>
                <w:color w:val="FFFFFF"/>
                <w:sz w:val="16"/>
                <w:szCs w:val="16"/>
              </w:rPr>
            </w:pPr>
            <w:r w:rsidRPr="0004199B">
              <w:rPr>
                <w:rFonts w:ascii="Arial" w:eastAsia="Times New Roman" w:hAnsi="Arial" w:cs="Arial"/>
                <w:b/>
                <w:bCs/>
                <w:color w:val="FFFFFF"/>
                <w:sz w:val="16"/>
                <w:szCs w:val="16"/>
              </w:rPr>
              <w:t>MW</w:t>
            </w:r>
            <w:r w:rsidRPr="0004199B">
              <w:rPr>
                <w:rFonts w:ascii="Arial" w:eastAsia="Times New Roman" w:hAnsi="Arial" w:cs="Arial"/>
                <w:b/>
                <w:bCs/>
                <w:color w:val="FFFFFF"/>
                <w:sz w:val="16"/>
                <w:szCs w:val="16"/>
              </w:rPr>
              <w:br/>
              <w:t>11 AM – 6 PM</w:t>
            </w:r>
          </w:p>
        </w:tc>
      </w:tr>
      <w:tr w:rsidR="0004199B" w:rsidRPr="0004199B" w:rsidTr="0004199B">
        <w:trPr>
          <w:trHeight w:val="300"/>
        </w:trPr>
        <w:tc>
          <w:tcPr>
            <w:tcW w:w="644" w:type="pct"/>
            <w:vMerge w:val="restart"/>
            <w:tcBorders>
              <w:top w:val="single" w:sz="4" w:space="0" w:color="auto"/>
              <w:left w:val="single" w:sz="4" w:space="0" w:color="auto"/>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1-in-10 August System Peak Day</w:t>
            </w:r>
          </w:p>
        </w:tc>
        <w:tc>
          <w:tcPr>
            <w:tcW w:w="425" w:type="pct"/>
            <w:tcBorders>
              <w:top w:val="single" w:sz="4" w:space="0" w:color="000000"/>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2012</w:t>
            </w:r>
          </w:p>
        </w:tc>
        <w:tc>
          <w:tcPr>
            <w:tcW w:w="583" w:type="pct"/>
            <w:tcBorders>
              <w:top w:val="single" w:sz="4" w:space="0" w:color="000000"/>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1,117 </w:t>
            </w:r>
          </w:p>
        </w:tc>
        <w:tc>
          <w:tcPr>
            <w:tcW w:w="697" w:type="pct"/>
            <w:tcBorders>
              <w:top w:val="single" w:sz="4" w:space="0" w:color="000000"/>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6"/>
                <w:szCs w:val="16"/>
              </w:rPr>
            </w:pPr>
            <w:r w:rsidRPr="0004199B">
              <w:rPr>
                <w:rFonts w:ascii="Arial" w:eastAsia="Times New Roman" w:hAnsi="Arial" w:cs="Arial"/>
                <w:color w:val="000000"/>
                <w:sz w:val="16"/>
                <w:szCs w:val="16"/>
              </w:rPr>
              <w:t>300.9</w:t>
            </w:r>
          </w:p>
        </w:tc>
        <w:tc>
          <w:tcPr>
            <w:tcW w:w="697" w:type="pct"/>
            <w:tcBorders>
              <w:top w:val="single" w:sz="4" w:space="0" w:color="000000"/>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6"/>
                <w:szCs w:val="16"/>
              </w:rPr>
            </w:pPr>
            <w:r w:rsidRPr="0004199B">
              <w:rPr>
                <w:rFonts w:ascii="Arial" w:eastAsia="Times New Roman" w:hAnsi="Arial" w:cs="Arial"/>
                <w:color w:val="000000"/>
                <w:sz w:val="16"/>
                <w:szCs w:val="16"/>
              </w:rPr>
              <w:t>283.2</w:t>
            </w:r>
          </w:p>
        </w:tc>
        <w:tc>
          <w:tcPr>
            <w:tcW w:w="697" w:type="pct"/>
            <w:tcBorders>
              <w:top w:val="single" w:sz="4" w:space="0" w:color="000000"/>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6"/>
                <w:szCs w:val="16"/>
              </w:rPr>
            </w:pPr>
            <w:r w:rsidRPr="0004199B">
              <w:rPr>
                <w:rFonts w:ascii="Arial" w:eastAsia="Times New Roman" w:hAnsi="Arial" w:cs="Arial"/>
                <w:color w:val="000000"/>
                <w:sz w:val="16"/>
                <w:szCs w:val="16"/>
              </w:rPr>
              <w:t>17.7</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sz w:val="16"/>
                <w:szCs w:val="16"/>
              </w:rPr>
            </w:pPr>
            <w:r w:rsidRPr="0004199B">
              <w:rPr>
                <w:rFonts w:ascii="Arial" w:eastAsia="Times New Roman" w:hAnsi="Arial" w:cs="Arial"/>
                <w:sz w:val="16"/>
                <w:szCs w:val="16"/>
              </w:rPr>
              <w:t>5.9%</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sz w:val="16"/>
                <w:szCs w:val="16"/>
              </w:rPr>
            </w:pPr>
            <w:r w:rsidRPr="0004199B">
              <w:rPr>
                <w:rFonts w:ascii="Arial" w:eastAsia="Times New Roman" w:hAnsi="Arial" w:cs="Arial"/>
                <w:sz w:val="16"/>
                <w:szCs w:val="16"/>
              </w:rPr>
              <w:t>84.4</w:t>
            </w:r>
          </w:p>
        </w:tc>
      </w:tr>
      <w:tr w:rsidR="0004199B" w:rsidRPr="0004199B" w:rsidTr="0004199B">
        <w:trPr>
          <w:trHeight w:val="360"/>
        </w:trPr>
        <w:tc>
          <w:tcPr>
            <w:tcW w:w="644" w:type="pct"/>
            <w:vMerge/>
            <w:tcBorders>
              <w:top w:val="single" w:sz="4" w:space="0" w:color="auto"/>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2013</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1,083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291.8</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274.6</w:t>
            </w:r>
          </w:p>
        </w:tc>
        <w:tc>
          <w:tcPr>
            <w:tcW w:w="697" w:type="pct"/>
            <w:tcBorders>
              <w:top w:val="nil"/>
              <w:left w:val="nil"/>
              <w:bottom w:val="single" w:sz="4" w:space="0" w:color="000000"/>
              <w:right w:val="nil"/>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17.2</w:t>
            </w:r>
          </w:p>
        </w:tc>
        <w:tc>
          <w:tcPr>
            <w:tcW w:w="61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single" w:sz="4" w:space="0" w:color="auto"/>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2014</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1,097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295.5</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278.1</w:t>
            </w:r>
          </w:p>
        </w:tc>
        <w:tc>
          <w:tcPr>
            <w:tcW w:w="697" w:type="pct"/>
            <w:tcBorders>
              <w:top w:val="nil"/>
              <w:left w:val="nil"/>
              <w:bottom w:val="single" w:sz="4" w:space="0" w:color="000000"/>
              <w:right w:val="nil"/>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17.4</w:t>
            </w:r>
          </w:p>
        </w:tc>
        <w:tc>
          <w:tcPr>
            <w:tcW w:w="61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single" w:sz="4" w:space="0" w:color="auto"/>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2015</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1,114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300.0</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282.3</w:t>
            </w:r>
          </w:p>
        </w:tc>
        <w:tc>
          <w:tcPr>
            <w:tcW w:w="697" w:type="pct"/>
            <w:tcBorders>
              <w:top w:val="nil"/>
              <w:left w:val="nil"/>
              <w:bottom w:val="single" w:sz="4" w:space="0" w:color="000000"/>
              <w:right w:val="nil"/>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17.7</w:t>
            </w:r>
          </w:p>
        </w:tc>
        <w:tc>
          <w:tcPr>
            <w:tcW w:w="61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single" w:sz="4" w:space="0" w:color="auto"/>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2016</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1,128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303.9</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286.0</w:t>
            </w:r>
          </w:p>
        </w:tc>
        <w:tc>
          <w:tcPr>
            <w:tcW w:w="697" w:type="pct"/>
            <w:tcBorders>
              <w:top w:val="nil"/>
              <w:left w:val="nil"/>
              <w:bottom w:val="single" w:sz="4" w:space="0" w:color="000000"/>
              <w:right w:val="nil"/>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17.9</w:t>
            </w:r>
          </w:p>
        </w:tc>
        <w:tc>
          <w:tcPr>
            <w:tcW w:w="61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single" w:sz="4" w:space="0" w:color="auto"/>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2017</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1,144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308.1</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289.9</w:t>
            </w:r>
          </w:p>
        </w:tc>
        <w:tc>
          <w:tcPr>
            <w:tcW w:w="697" w:type="pct"/>
            <w:tcBorders>
              <w:top w:val="nil"/>
              <w:left w:val="nil"/>
              <w:bottom w:val="single" w:sz="4" w:space="0" w:color="000000"/>
              <w:right w:val="nil"/>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18.1</w:t>
            </w:r>
          </w:p>
        </w:tc>
        <w:tc>
          <w:tcPr>
            <w:tcW w:w="61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single" w:sz="4" w:space="0" w:color="auto"/>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2018</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1,159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312.3</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293.9</w:t>
            </w:r>
          </w:p>
        </w:tc>
        <w:tc>
          <w:tcPr>
            <w:tcW w:w="697" w:type="pct"/>
            <w:tcBorders>
              <w:top w:val="nil"/>
              <w:left w:val="nil"/>
              <w:bottom w:val="single" w:sz="4" w:space="0" w:color="000000"/>
              <w:right w:val="nil"/>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18.4</w:t>
            </w:r>
          </w:p>
        </w:tc>
        <w:tc>
          <w:tcPr>
            <w:tcW w:w="61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single" w:sz="4" w:space="0" w:color="auto"/>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2019</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1,175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316.6</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298.0</w:t>
            </w:r>
          </w:p>
        </w:tc>
        <w:tc>
          <w:tcPr>
            <w:tcW w:w="697" w:type="pct"/>
            <w:tcBorders>
              <w:top w:val="nil"/>
              <w:left w:val="nil"/>
              <w:bottom w:val="single" w:sz="4" w:space="0" w:color="000000"/>
              <w:right w:val="nil"/>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18.6</w:t>
            </w:r>
          </w:p>
        </w:tc>
        <w:tc>
          <w:tcPr>
            <w:tcW w:w="61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single" w:sz="4" w:space="0" w:color="auto"/>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2020</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1,192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321.0</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302.1</w:t>
            </w:r>
          </w:p>
        </w:tc>
        <w:tc>
          <w:tcPr>
            <w:tcW w:w="697" w:type="pct"/>
            <w:tcBorders>
              <w:top w:val="nil"/>
              <w:left w:val="nil"/>
              <w:bottom w:val="single" w:sz="4" w:space="0" w:color="000000"/>
              <w:right w:val="nil"/>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18.9</w:t>
            </w:r>
          </w:p>
        </w:tc>
        <w:tc>
          <w:tcPr>
            <w:tcW w:w="61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single" w:sz="4" w:space="0" w:color="auto"/>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2021</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1,208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325.4</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306.2</w:t>
            </w:r>
          </w:p>
        </w:tc>
        <w:tc>
          <w:tcPr>
            <w:tcW w:w="697" w:type="pct"/>
            <w:tcBorders>
              <w:top w:val="nil"/>
              <w:left w:val="nil"/>
              <w:bottom w:val="single" w:sz="4" w:space="0" w:color="000000"/>
              <w:right w:val="nil"/>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19.2</w:t>
            </w:r>
          </w:p>
        </w:tc>
        <w:tc>
          <w:tcPr>
            <w:tcW w:w="61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single" w:sz="4" w:space="0" w:color="auto"/>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2022</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1,225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329.9</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310.4</w:t>
            </w:r>
          </w:p>
        </w:tc>
        <w:tc>
          <w:tcPr>
            <w:tcW w:w="697" w:type="pct"/>
            <w:tcBorders>
              <w:top w:val="nil"/>
              <w:left w:val="nil"/>
              <w:bottom w:val="single" w:sz="4" w:space="0" w:color="000000"/>
              <w:right w:val="nil"/>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19.4</w:t>
            </w:r>
          </w:p>
        </w:tc>
        <w:tc>
          <w:tcPr>
            <w:tcW w:w="61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single" w:sz="4" w:space="0" w:color="auto"/>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2023</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1,242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334.4</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314.7</w:t>
            </w:r>
          </w:p>
        </w:tc>
        <w:tc>
          <w:tcPr>
            <w:tcW w:w="697" w:type="pct"/>
            <w:tcBorders>
              <w:top w:val="nil"/>
              <w:left w:val="nil"/>
              <w:bottom w:val="single" w:sz="4" w:space="0" w:color="000000"/>
              <w:right w:val="nil"/>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19.7</w:t>
            </w:r>
          </w:p>
        </w:tc>
        <w:tc>
          <w:tcPr>
            <w:tcW w:w="61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val="restart"/>
            <w:tcBorders>
              <w:top w:val="nil"/>
              <w:left w:val="single" w:sz="4" w:space="0" w:color="auto"/>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1-in-2 August System Peak Day</w:t>
            </w: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2012</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1,117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291.0</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273.8</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17.2</w:t>
            </w:r>
          </w:p>
        </w:tc>
        <w:tc>
          <w:tcPr>
            <w:tcW w:w="613" w:type="pct"/>
            <w:vMerge w:val="restart"/>
            <w:tcBorders>
              <w:top w:val="nil"/>
              <w:left w:val="single" w:sz="4" w:space="0" w:color="000000"/>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sz w:val="18"/>
                <w:szCs w:val="18"/>
              </w:rPr>
            </w:pPr>
            <w:r w:rsidRPr="0004199B">
              <w:rPr>
                <w:rFonts w:ascii="Arial" w:eastAsia="Times New Roman" w:hAnsi="Arial" w:cs="Arial"/>
                <w:sz w:val="18"/>
                <w:szCs w:val="18"/>
              </w:rPr>
              <w:t>5.9%</w:t>
            </w:r>
          </w:p>
        </w:tc>
        <w:tc>
          <w:tcPr>
            <w:tcW w:w="643" w:type="pct"/>
            <w:vMerge w:val="restart"/>
            <w:tcBorders>
              <w:top w:val="nil"/>
              <w:left w:val="single" w:sz="4" w:space="0" w:color="000000"/>
              <w:bottom w:val="single" w:sz="4" w:space="0" w:color="000000"/>
              <w:right w:val="single" w:sz="4" w:space="0" w:color="auto"/>
            </w:tcBorders>
            <w:shd w:val="clear" w:color="auto" w:fill="auto"/>
            <w:noWrap/>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sz w:val="18"/>
                <w:szCs w:val="18"/>
              </w:rPr>
            </w:pPr>
            <w:r w:rsidRPr="0004199B">
              <w:rPr>
                <w:rFonts w:ascii="Arial" w:eastAsia="Times New Roman" w:hAnsi="Arial" w:cs="Arial"/>
                <w:sz w:val="18"/>
                <w:szCs w:val="18"/>
              </w:rPr>
              <w:t>82.0</w:t>
            </w:r>
          </w:p>
        </w:tc>
      </w:tr>
      <w:tr w:rsidR="0004199B" w:rsidRPr="0004199B" w:rsidTr="0004199B">
        <w:trPr>
          <w:trHeight w:val="360"/>
        </w:trPr>
        <w:tc>
          <w:tcPr>
            <w:tcW w:w="644" w:type="pct"/>
            <w:vMerge/>
            <w:tcBorders>
              <w:top w:val="nil"/>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2013</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1,083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282.2</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265.5</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16.7</w:t>
            </w:r>
          </w:p>
        </w:tc>
        <w:tc>
          <w:tcPr>
            <w:tcW w:w="613" w:type="pct"/>
            <w:vMerge/>
            <w:tcBorders>
              <w:top w:val="nil"/>
              <w:left w:val="single" w:sz="4" w:space="0" w:color="000000"/>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nil"/>
              <w:left w:val="single" w:sz="4" w:space="0" w:color="000000"/>
              <w:bottom w:val="single" w:sz="4" w:space="0" w:color="000000"/>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nil"/>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2014</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1,097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285.7</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268.8</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16.9</w:t>
            </w:r>
          </w:p>
        </w:tc>
        <w:tc>
          <w:tcPr>
            <w:tcW w:w="613" w:type="pct"/>
            <w:vMerge/>
            <w:tcBorders>
              <w:top w:val="nil"/>
              <w:left w:val="single" w:sz="4" w:space="0" w:color="000000"/>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nil"/>
              <w:left w:val="single" w:sz="4" w:space="0" w:color="000000"/>
              <w:bottom w:val="single" w:sz="4" w:space="0" w:color="000000"/>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nil"/>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2015</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1,114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290.1</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272.9</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17.2</w:t>
            </w:r>
          </w:p>
        </w:tc>
        <w:tc>
          <w:tcPr>
            <w:tcW w:w="613" w:type="pct"/>
            <w:vMerge/>
            <w:tcBorders>
              <w:top w:val="nil"/>
              <w:left w:val="single" w:sz="4" w:space="0" w:color="000000"/>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nil"/>
              <w:left w:val="single" w:sz="4" w:space="0" w:color="000000"/>
              <w:bottom w:val="single" w:sz="4" w:space="0" w:color="000000"/>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nil"/>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2016</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1,128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293.8</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276.4</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17.4</w:t>
            </w:r>
          </w:p>
        </w:tc>
        <w:tc>
          <w:tcPr>
            <w:tcW w:w="613" w:type="pct"/>
            <w:vMerge/>
            <w:tcBorders>
              <w:top w:val="nil"/>
              <w:left w:val="single" w:sz="4" w:space="0" w:color="000000"/>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nil"/>
              <w:left w:val="single" w:sz="4" w:space="0" w:color="000000"/>
              <w:bottom w:val="single" w:sz="4" w:space="0" w:color="000000"/>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nil"/>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2017</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1,144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297.9</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280.3</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17.6</w:t>
            </w:r>
          </w:p>
        </w:tc>
        <w:tc>
          <w:tcPr>
            <w:tcW w:w="613" w:type="pct"/>
            <w:vMerge/>
            <w:tcBorders>
              <w:top w:val="nil"/>
              <w:left w:val="single" w:sz="4" w:space="0" w:color="000000"/>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nil"/>
              <w:left w:val="single" w:sz="4" w:space="0" w:color="000000"/>
              <w:bottom w:val="single" w:sz="4" w:space="0" w:color="000000"/>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nil"/>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2018</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1,159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302.0</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284.1</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17.9</w:t>
            </w:r>
          </w:p>
        </w:tc>
        <w:tc>
          <w:tcPr>
            <w:tcW w:w="613" w:type="pct"/>
            <w:vMerge/>
            <w:tcBorders>
              <w:top w:val="nil"/>
              <w:left w:val="single" w:sz="4" w:space="0" w:color="000000"/>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nil"/>
              <w:left w:val="single" w:sz="4" w:space="0" w:color="000000"/>
              <w:bottom w:val="single" w:sz="4" w:space="0" w:color="000000"/>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nil"/>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2019</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1,175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306.1</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288.0</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18.1</w:t>
            </w:r>
          </w:p>
        </w:tc>
        <w:tc>
          <w:tcPr>
            <w:tcW w:w="613" w:type="pct"/>
            <w:vMerge/>
            <w:tcBorders>
              <w:top w:val="nil"/>
              <w:left w:val="single" w:sz="4" w:space="0" w:color="000000"/>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nil"/>
              <w:left w:val="single" w:sz="4" w:space="0" w:color="000000"/>
              <w:bottom w:val="single" w:sz="4" w:space="0" w:color="000000"/>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nil"/>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2020</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1,192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310.4</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292.0</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18.4</w:t>
            </w:r>
          </w:p>
        </w:tc>
        <w:tc>
          <w:tcPr>
            <w:tcW w:w="613" w:type="pct"/>
            <w:vMerge/>
            <w:tcBorders>
              <w:top w:val="nil"/>
              <w:left w:val="single" w:sz="4" w:space="0" w:color="000000"/>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nil"/>
              <w:left w:val="single" w:sz="4" w:space="0" w:color="000000"/>
              <w:bottom w:val="single" w:sz="4" w:space="0" w:color="000000"/>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nil"/>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2021</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1,208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314.6</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296.0</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18.6</w:t>
            </w:r>
          </w:p>
        </w:tc>
        <w:tc>
          <w:tcPr>
            <w:tcW w:w="613" w:type="pct"/>
            <w:vMerge/>
            <w:tcBorders>
              <w:top w:val="nil"/>
              <w:left w:val="single" w:sz="4" w:space="0" w:color="000000"/>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nil"/>
              <w:left w:val="single" w:sz="4" w:space="0" w:color="000000"/>
              <w:bottom w:val="single" w:sz="4" w:space="0" w:color="000000"/>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nil"/>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2022</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1,225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319.0</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300.1</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18.9</w:t>
            </w:r>
          </w:p>
        </w:tc>
        <w:tc>
          <w:tcPr>
            <w:tcW w:w="613" w:type="pct"/>
            <w:vMerge/>
            <w:tcBorders>
              <w:top w:val="nil"/>
              <w:left w:val="single" w:sz="4" w:space="0" w:color="000000"/>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nil"/>
              <w:left w:val="single" w:sz="4" w:space="0" w:color="000000"/>
              <w:bottom w:val="single" w:sz="4" w:space="0" w:color="000000"/>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r w:rsidR="0004199B" w:rsidRPr="0004199B" w:rsidTr="0004199B">
        <w:trPr>
          <w:trHeight w:val="360"/>
        </w:trPr>
        <w:tc>
          <w:tcPr>
            <w:tcW w:w="644" w:type="pct"/>
            <w:vMerge/>
            <w:tcBorders>
              <w:top w:val="nil"/>
              <w:left w:val="single" w:sz="4" w:space="0" w:color="auto"/>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2023</w:t>
            </w:r>
          </w:p>
        </w:tc>
        <w:tc>
          <w:tcPr>
            <w:tcW w:w="583"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 xml:space="preserve">1,242 </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323.4</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304.2</w:t>
            </w:r>
          </w:p>
        </w:tc>
        <w:tc>
          <w:tcPr>
            <w:tcW w:w="697" w:type="pct"/>
            <w:tcBorders>
              <w:top w:val="nil"/>
              <w:left w:val="nil"/>
              <w:bottom w:val="single" w:sz="4" w:space="0" w:color="000000"/>
              <w:right w:val="single" w:sz="4" w:space="0" w:color="000000"/>
            </w:tcBorders>
            <w:shd w:val="clear" w:color="auto" w:fill="auto"/>
            <w:tcMar>
              <w:left w:w="43" w:type="dxa"/>
              <w:right w:w="43" w:type="dxa"/>
            </w:tcMar>
            <w:vAlign w:val="center"/>
            <w:hideMark/>
          </w:tcPr>
          <w:p w:rsidR="0004199B" w:rsidRPr="0004199B" w:rsidRDefault="0004199B" w:rsidP="0004199B">
            <w:pPr>
              <w:spacing w:after="0" w:line="240" w:lineRule="auto"/>
              <w:jc w:val="center"/>
              <w:rPr>
                <w:rFonts w:ascii="Arial" w:eastAsia="Times New Roman" w:hAnsi="Arial" w:cs="Arial"/>
                <w:color w:val="000000"/>
                <w:sz w:val="18"/>
                <w:szCs w:val="18"/>
              </w:rPr>
            </w:pPr>
            <w:r w:rsidRPr="0004199B">
              <w:rPr>
                <w:rFonts w:ascii="Arial" w:eastAsia="Times New Roman" w:hAnsi="Arial" w:cs="Arial"/>
                <w:color w:val="000000"/>
                <w:sz w:val="18"/>
                <w:szCs w:val="18"/>
              </w:rPr>
              <w:t>19.1</w:t>
            </w:r>
          </w:p>
        </w:tc>
        <w:tc>
          <w:tcPr>
            <w:tcW w:w="613" w:type="pct"/>
            <w:vMerge/>
            <w:tcBorders>
              <w:top w:val="nil"/>
              <w:left w:val="single" w:sz="4" w:space="0" w:color="000000"/>
              <w:bottom w:val="single" w:sz="4" w:space="0" w:color="000000"/>
              <w:right w:val="single" w:sz="4" w:space="0" w:color="000000"/>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c>
          <w:tcPr>
            <w:tcW w:w="643" w:type="pct"/>
            <w:vMerge/>
            <w:tcBorders>
              <w:top w:val="nil"/>
              <w:left w:val="single" w:sz="4" w:space="0" w:color="000000"/>
              <w:bottom w:val="single" w:sz="4" w:space="0" w:color="000000"/>
              <w:right w:val="single" w:sz="4" w:space="0" w:color="auto"/>
            </w:tcBorders>
            <w:tcMar>
              <w:left w:w="43" w:type="dxa"/>
              <w:right w:w="43" w:type="dxa"/>
            </w:tcMar>
            <w:vAlign w:val="center"/>
            <w:hideMark/>
          </w:tcPr>
          <w:p w:rsidR="0004199B" w:rsidRPr="0004199B" w:rsidRDefault="0004199B" w:rsidP="0004199B">
            <w:pPr>
              <w:spacing w:after="0" w:line="240" w:lineRule="auto"/>
              <w:rPr>
                <w:rFonts w:ascii="Arial" w:eastAsia="Times New Roman" w:hAnsi="Arial" w:cs="Arial"/>
                <w:sz w:val="18"/>
                <w:szCs w:val="18"/>
              </w:rPr>
            </w:pPr>
          </w:p>
        </w:tc>
      </w:tr>
    </w:tbl>
    <w:p w:rsidR="0004199B" w:rsidRDefault="0004199B" w:rsidP="00F15A2F">
      <w:pPr>
        <w:pStyle w:val="BodyParagraph"/>
      </w:pPr>
      <w:bookmarkStart w:id="214" w:name="_Toc350876903"/>
      <w:bookmarkStart w:id="215" w:name="_Toc351370134"/>
    </w:p>
    <w:p w:rsidR="00F15A2F" w:rsidRDefault="00F15A2F" w:rsidP="00F15A2F">
      <w:pPr>
        <w:pStyle w:val="BodyParagraph"/>
      </w:pPr>
      <w:r>
        <w:t>Table 9-3 summarizes the statistical uncertainty in the ex ante annual system peak load impact estimates for large customers.</w:t>
      </w:r>
      <w:r w:rsidRPr="00862A0E">
        <w:t xml:space="preserve"> </w:t>
      </w:r>
      <w:r>
        <w:t xml:space="preserve"> The ex ante impacts do not reflect uncertainty in enrollment.  They do however reflect the challenge of accurately estimating small percentage demand reductions for individual event days. The uncertainty is relatively broad.  For example, in 2013</w:t>
      </w:r>
      <w:r w:rsidRPr="00BE286E">
        <w:t>, the</w:t>
      </w:r>
      <w:r>
        <w:t xml:space="preserve"> projected load impacts for 1-in-2 weather conditions are 17.2 ±4.9 MW, with</w:t>
      </w:r>
      <w:r w:rsidRPr="00BE286E">
        <w:t xml:space="preserve"> 80% confidence.  </w:t>
      </w:r>
    </w:p>
    <w:p w:rsidR="00F15A2F" w:rsidRDefault="00F15A2F" w:rsidP="00F15A2F">
      <w:pPr>
        <w:pStyle w:val="TableFigureCaption"/>
      </w:pPr>
      <w:r>
        <w:lastRenderedPageBreak/>
        <w:t>Table 9-3: SDG&amp;E Program Annual</w:t>
      </w:r>
      <w:r w:rsidRPr="009B536E">
        <w:t xml:space="preserve"> Peak Day Load Impacts</w:t>
      </w:r>
      <w:r>
        <w:t xml:space="preserve"> for Large Customers</w:t>
      </w:r>
      <w:r w:rsidRPr="009B536E">
        <w:t xml:space="preserve"> with Uncertainty </w:t>
      </w:r>
      <w:r w:rsidRPr="009B536E">
        <w:br/>
        <w:t>(</w:t>
      </w:r>
      <w:r>
        <w:t>Hourly Average Reduction in MW Over Event Day Period 1–6 PM</w:t>
      </w:r>
      <w:r w:rsidRPr="009B536E">
        <w:t>)</w:t>
      </w:r>
    </w:p>
    <w:tbl>
      <w:tblPr>
        <w:tblW w:w="9380" w:type="dxa"/>
        <w:tblInd w:w="93" w:type="dxa"/>
        <w:tblLook w:val="04A0" w:firstRow="1" w:lastRow="0" w:firstColumn="1" w:lastColumn="0" w:noHBand="0" w:noVBand="1"/>
      </w:tblPr>
      <w:tblGrid>
        <w:gridCol w:w="1210"/>
        <w:gridCol w:w="1170"/>
        <w:gridCol w:w="1400"/>
        <w:gridCol w:w="1120"/>
        <w:gridCol w:w="1120"/>
        <w:gridCol w:w="1120"/>
        <w:gridCol w:w="1120"/>
        <w:gridCol w:w="1120"/>
      </w:tblGrid>
      <w:tr w:rsidR="00E7185E" w:rsidRPr="00E7185E" w:rsidTr="00E7185E">
        <w:trPr>
          <w:trHeight w:val="510"/>
        </w:trPr>
        <w:tc>
          <w:tcPr>
            <w:tcW w:w="1210" w:type="dxa"/>
            <w:vMerge w:val="restart"/>
            <w:tcBorders>
              <w:top w:val="single" w:sz="4" w:space="0" w:color="auto"/>
              <w:left w:val="single" w:sz="4" w:space="0" w:color="auto"/>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Weather Year</w:t>
            </w:r>
          </w:p>
        </w:tc>
        <w:tc>
          <w:tcPr>
            <w:tcW w:w="1170" w:type="dxa"/>
            <w:vMerge w:val="restart"/>
            <w:tcBorders>
              <w:top w:val="single" w:sz="4" w:space="0" w:color="auto"/>
              <w:left w:val="single" w:sz="4" w:space="0" w:color="FFFFFF"/>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Year</w:t>
            </w:r>
          </w:p>
        </w:tc>
        <w:tc>
          <w:tcPr>
            <w:tcW w:w="1400" w:type="dxa"/>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Avg. Load impact</w:t>
            </w:r>
          </w:p>
        </w:tc>
        <w:tc>
          <w:tcPr>
            <w:tcW w:w="5600" w:type="dxa"/>
            <w:gridSpan w:val="5"/>
            <w:tcBorders>
              <w:top w:val="single" w:sz="4" w:space="0" w:color="auto"/>
              <w:left w:val="nil"/>
              <w:bottom w:val="single" w:sz="4" w:space="0" w:color="FFFFFF"/>
              <w:right w:val="single" w:sz="4" w:space="0" w:color="000000"/>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Impact Uncertainty Percentiles</w:t>
            </w:r>
          </w:p>
        </w:tc>
      </w:tr>
      <w:tr w:rsidR="00E7185E" w:rsidRPr="00E7185E" w:rsidTr="00E7185E">
        <w:trPr>
          <w:trHeight w:val="480"/>
        </w:trPr>
        <w:tc>
          <w:tcPr>
            <w:tcW w:w="1210" w:type="dxa"/>
            <w:vMerge/>
            <w:tcBorders>
              <w:top w:val="single" w:sz="4" w:space="0" w:color="auto"/>
              <w:left w:val="single" w:sz="4" w:space="0" w:color="auto"/>
              <w:bottom w:val="single" w:sz="4" w:space="0" w:color="000000"/>
              <w:right w:val="single" w:sz="4" w:space="0" w:color="FFFFFF"/>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b/>
                <w:bCs/>
                <w:color w:val="FFFFFF"/>
                <w:sz w:val="18"/>
                <w:szCs w:val="18"/>
              </w:rPr>
            </w:pPr>
          </w:p>
        </w:tc>
        <w:tc>
          <w:tcPr>
            <w:tcW w:w="1170" w:type="dxa"/>
            <w:vMerge/>
            <w:tcBorders>
              <w:top w:val="single" w:sz="4" w:space="0" w:color="auto"/>
              <w:left w:val="single" w:sz="4" w:space="0" w:color="FFFFFF"/>
              <w:bottom w:val="single" w:sz="4" w:space="0" w:color="000000"/>
              <w:right w:val="single" w:sz="4" w:space="0" w:color="FFFFFF"/>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b/>
                <w:bCs/>
                <w:color w:val="FFFFFF"/>
                <w:sz w:val="18"/>
                <w:szCs w:val="18"/>
              </w:rPr>
            </w:pPr>
          </w:p>
        </w:tc>
        <w:tc>
          <w:tcPr>
            <w:tcW w:w="1400" w:type="dxa"/>
            <w:tcBorders>
              <w:top w:val="nil"/>
              <w:left w:val="nil"/>
              <w:bottom w:val="single" w:sz="4" w:space="0" w:color="000000"/>
              <w:right w:val="single" w:sz="4" w:space="0" w:color="FFFFFF"/>
            </w:tcBorders>
            <w:shd w:val="clear" w:color="000000" w:fill="1F497D"/>
            <w:tcMar>
              <w:left w:w="43" w:type="dxa"/>
              <w:right w:w="43" w:type="dxa"/>
            </w:tcMar>
            <w:vAlign w:val="center"/>
            <w:hideMark/>
          </w:tcPr>
          <w:p w:rsid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 xml:space="preserve">MW  </w:t>
            </w:r>
          </w:p>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11 am</w:t>
            </w:r>
            <w:r>
              <w:rPr>
                <w:rFonts w:ascii="Arial" w:eastAsia="Times New Roman" w:hAnsi="Arial" w:cs="Arial"/>
                <w:b/>
                <w:bCs/>
                <w:color w:val="FFFFFF"/>
                <w:sz w:val="18"/>
                <w:szCs w:val="18"/>
              </w:rPr>
              <w:t xml:space="preserve"> </w:t>
            </w:r>
            <w:r w:rsidRPr="00E7185E">
              <w:rPr>
                <w:rFonts w:ascii="Arial" w:eastAsia="Times New Roman" w:hAnsi="Arial" w:cs="Arial"/>
                <w:b/>
                <w:bCs/>
                <w:color w:val="FFFFFF"/>
                <w:sz w:val="18"/>
                <w:szCs w:val="18"/>
              </w:rPr>
              <w:t>-</w:t>
            </w:r>
            <w:r>
              <w:rPr>
                <w:rFonts w:ascii="Arial" w:eastAsia="Times New Roman" w:hAnsi="Arial" w:cs="Arial"/>
                <w:b/>
                <w:bCs/>
                <w:color w:val="FFFFFF"/>
                <w:sz w:val="18"/>
                <w:szCs w:val="18"/>
              </w:rPr>
              <w:t xml:space="preserve"> </w:t>
            </w:r>
            <w:r w:rsidRPr="00E7185E">
              <w:rPr>
                <w:rFonts w:ascii="Arial" w:eastAsia="Times New Roman" w:hAnsi="Arial" w:cs="Arial"/>
                <w:b/>
                <w:bCs/>
                <w:color w:val="FFFFFF"/>
                <w:sz w:val="18"/>
                <w:szCs w:val="18"/>
              </w:rPr>
              <w:t>6 pm</w:t>
            </w:r>
          </w:p>
        </w:tc>
        <w:tc>
          <w:tcPr>
            <w:tcW w:w="1120" w:type="dxa"/>
            <w:tcBorders>
              <w:top w:val="nil"/>
              <w:left w:val="nil"/>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10</w:t>
            </w:r>
            <w:r w:rsidRPr="00E7185E">
              <w:rPr>
                <w:rFonts w:ascii="Arial" w:eastAsia="Times New Roman" w:hAnsi="Arial" w:cs="Arial"/>
                <w:b/>
                <w:bCs/>
                <w:color w:val="FFFFFF"/>
                <w:sz w:val="18"/>
                <w:szCs w:val="18"/>
                <w:vertAlign w:val="superscript"/>
              </w:rPr>
              <w:t>th</w:t>
            </w:r>
          </w:p>
        </w:tc>
        <w:tc>
          <w:tcPr>
            <w:tcW w:w="1120" w:type="dxa"/>
            <w:tcBorders>
              <w:top w:val="nil"/>
              <w:left w:val="nil"/>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30</w:t>
            </w:r>
            <w:r w:rsidRPr="00E7185E">
              <w:rPr>
                <w:rFonts w:ascii="Arial" w:eastAsia="Times New Roman" w:hAnsi="Arial" w:cs="Arial"/>
                <w:b/>
                <w:bCs/>
                <w:color w:val="FFFFFF"/>
                <w:sz w:val="18"/>
                <w:szCs w:val="18"/>
                <w:vertAlign w:val="superscript"/>
              </w:rPr>
              <w:t>th</w:t>
            </w:r>
          </w:p>
        </w:tc>
        <w:tc>
          <w:tcPr>
            <w:tcW w:w="1120" w:type="dxa"/>
            <w:tcBorders>
              <w:top w:val="nil"/>
              <w:left w:val="nil"/>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50</w:t>
            </w:r>
            <w:r w:rsidRPr="00E7185E">
              <w:rPr>
                <w:rFonts w:ascii="Arial" w:eastAsia="Times New Roman" w:hAnsi="Arial" w:cs="Arial"/>
                <w:b/>
                <w:bCs/>
                <w:color w:val="FFFFFF"/>
                <w:sz w:val="18"/>
                <w:szCs w:val="18"/>
                <w:vertAlign w:val="superscript"/>
              </w:rPr>
              <w:t>th</w:t>
            </w:r>
          </w:p>
        </w:tc>
        <w:tc>
          <w:tcPr>
            <w:tcW w:w="1120" w:type="dxa"/>
            <w:tcBorders>
              <w:top w:val="nil"/>
              <w:left w:val="nil"/>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70</w:t>
            </w:r>
            <w:r w:rsidRPr="00E7185E">
              <w:rPr>
                <w:rFonts w:ascii="Arial" w:eastAsia="Times New Roman" w:hAnsi="Arial" w:cs="Arial"/>
                <w:b/>
                <w:bCs/>
                <w:color w:val="FFFFFF"/>
                <w:sz w:val="18"/>
                <w:szCs w:val="18"/>
                <w:vertAlign w:val="superscript"/>
              </w:rPr>
              <w:t>th</w:t>
            </w:r>
          </w:p>
        </w:tc>
        <w:tc>
          <w:tcPr>
            <w:tcW w:w="1120" w:type="dxa"/>
            <w:tcBorders>
              <w:top w:val="nil"/>
              <w:left w:val="nil"/>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90</w:t>
            </w:r>
            <w:r w:rsidRPr="00E7185E">
              <w:rPr>
                <w:rFonts w:ascii="Arial" w:eastAsia="Times New Roman" w:hAnsi="Arial" w:cs="Arial"/>
                <w:b/>
                <w:bCs/>
                <w:color w:val="FFFFFF"/>
                <w:sz w:val="18"/>
                <w:szCs w:val="18"/>
                <w:vertAlign w:val="superscript"/>
              </w:rPr>
              <w:t>th</w:t>
            </w:r>
          </w:p>
        </w:tc>
      </w:tr>
      <w:tr w:rsidR="00E7185E" w:rsidRPr="00E7185E" w:rsidTr="00F15A2F">
        <w:trPr>
          <w:trHeight w:val="360"/>
        </w:trPr>
        <w:tc>
          <w:tcPr>
            <w:tcW w:w="1210" w:type="dxa"/>
            <w:vMerge w:val="restart"/>
            <w:tcBorders>
              <w:top w:val="nil"/>
              <w:left w:val="single" w:sz="4" w:space="0" w:color="auto"/>
              <w:bottom w:val="nil"/>
              <w:right w:val="single" w:sz="4" w:space="0" w:color="000000"/>
            </w:tcBorders>
            <w:shd w:val="clear" w:color="auto" w:fill="auto"/>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1-in-10 August System Peak Day</w:t>
            </w: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2013</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15.2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22.1</w:t>
            </w:r>
          </w:p>
        </w:tc>
      </w:tr>
      <w:tr w:rsidR="00E7185E" w:rsidRPr="00E7185E" w:rsidTr="00F15A2F">
        <w:trPr>
          <w:trHeight w:val="360"/>
        </w:trPr>
        <w:tc>
          <w:tcPr>
            <w:tcW w:w="121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2014</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15.4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22.3</w:t>
            </w:r>
          </w:p>
        </w:tc>
      </w:tr>
      <w:tr w:rsidR="00E7185E" w:rsidRPr="00E7185E" w:rsidTr="00F15A2F">
        <w:trPr>
          <w:trHeight w:val="360"/>
        </w:trPr>
        <w:tc>
          <w:tcPr>
            <w:tcW w:w="121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2015</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15.6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22.7</w:t>
            </w:r>
          </w:p>
        </w:tc>
      </w:tr>
      <w:tr w:rsidR="00E7185E" w:rsidRPr="00E7185E" w:rsidTr="00F15A2F">
        <w:trPr>
          <w:trHeight w:val="360"/>
        </w:trPr>
        <w:tc>
          <w:tcPr>
            <w:tcW w:w="121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2016</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15.8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22.9</w:t>
            </w:r>
          </w:p>
        </w:tc>
      </w:tr>
      <w:tr w:rsidR="00E7185E" w:rsidRPr="00E7185E" w:rsidTr="00F15A2F">
        <w:trPr>
          <w:trHeight w:val="360"/>
        </w:trPr>
        <w:tc>
          <w:tcPr>
            <w:tcW w:w="121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2017</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23.3</w:t>
            </w:r>
          </w:p>
        </w:tc>
      </w:tr>
      <w:tr w:rsidR="00E7185E" w:rsidRPr="00E7185E" w:rsidTr="00F15A2F">
        <w:trPr>
          <w:trHeight w:val="360"/>
        </w:trPr>
        <w:tc>
          <w:tcPr>
            <w:tcW w:w="121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2018</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23.6</w:t>
            </w:r>
          </w:p>
        </w:tc>
      </w:tr>
      <w:tr w:rsidR="00E7185E" w:rsidRPr="00E7185E" w:rsidTr="00F15A2F">
        <w:trPr>
          <w:trHeight w:val="360"/>
        </w:trPr>
        <w:tc>
          <w:tcPr>
            <w:tcW w:w="121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2019</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23.9</w:t>
            </w:r>
          </w:p>
        </w:tc>
      </w:tr>
      <w:tr w:rsidR="00E7185E" w:rsidRPr="00E7185E" w:rsidTr="00F15A2F">
        <w:trPr>
          <w:trHeight w:val="360"/>
        </w:trPr>
        <w:tc>
          <w:tcPr>
            <w:tcW w:w="121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2020</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24.3</w:t>
            </w:r>
          </w:p>
        </w:tc>
      </w:tr>
      <w:tr w:rsidR="00E7185E" w:rsidRPr="00E7185E" w:rsidTr="00F15A2F">
        <w:trPr>
          <w:trHeight w:val="360"/>
        </w:trPr>
        <w:tc>
          <w:tcPr>
            <w:tcW w:w="121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2021</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24.6</w:t>
            </w:r>
          </w:p>
        </w:tc>
      </w:tr>
      <w:tr w:rsidR="00E7185E" w:rsidRPr="00E7185E" w:rsidTr="00F15A2F">
        <w:trPr>
          <w:trHeight w:val="360"/>
        </w:trPr>
        <w:tc>
          <w:tcPr>
            <w:tcW w:w="121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2022</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24.9</w:t>
            </w:r>
          </w:p>
        </w:tc>
      </w:tr>
      <w:tr w:rsidR="00E7185E" w:rsidRPr="00E7185E" w:rsidTr="00F15A2F">
        <w:trPr>
          <w:trHeight w:val="360"/>
        </w:trPr>
        <w:tc>
          <w:tcPr>
            <w:tcW w:w="121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2023</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14.1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25.3</w:t>
            </w:r>
          </w:p>
        </w:tc>
      </w:tr>
      <w:tr w:rsidR="00E7185E" w:rsidRPr="00E7185E" w:rsidTr="00F15A2F">
        <w:trPr>
          <w:trHeight w:val="360"/>
        </w:trPr>
        <w:tc>
          <w:tcPr>
            <w:tcW w:w="1210" w:type="dxa"/>
            <w:vMerge w:val="restart"/>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1-in-2 August System Peak Day</w:t>
            </w: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2013</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11.9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14.7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21.4</w:t>
            </w:r>
          </w:p>
        </w:tc>
      </w:tr>
      <w:tr w:rsidR="00E7185E" w:rsidRPr="00E7185E" w:rsidTr="00F15A2F">
        <w:trPr>
          <w:trHeight w:val="360"/>
        </w:trPr>
        <w:tc>
          <w:tcPr>
            <w:tcW w:w="121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2014</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14.9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21.7</w:t>
            </w:r>
          </w:p>
        </w:tc>
      </w:tr>
      <w:tr w:rsidR="00E7185E" w:rsidRPr="00E7185E" w:rsidTr="00F15A2F">
        <w:trPr>
          <w:trHeight w:val="360"/>
        </w:trPr>
        <w:tc>
          <w:tcPr>
            <w:tcW w:w="121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2015</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15.2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22.0</w:t>
            </w:r>
          </w:p>
        </w:tc>
      </w:tr>
      <w:tr w:rsidR="00E7185E" w:rsidRPr="00E7185E" w:rsidTr="00F15A2F">
        <w:trPr>
          <w:trHeight w:val="360"/>
        </w:trPr>
        <w:tc>
          <w:tcPr>
            <w:tcW w:w="121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2016</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15.4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22.3</w:t>
            </w:r>
          </w:p>
        </w:tc>
      </w:tr>
      <w:tr w:rsidR="00E7185E" w:rsidRPr="00E7185E" w:rsidTr="00F15A2F">
        <w:trPr>
          <w:trHeight w:val="360"/>
        </w:trPr>
        <w:tc>
          <w:tcPr>
            <w:tcW w:w="121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2017</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15.6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22.6</w:t>
            </w:r>
          </w:p>
        </w:tc>
      </w:tr>
      <w:tr w:rsidR="00E7185E" w:rsidRPr="00E7185E" w:rsidTr="00F15A2F">
        <w:trPr>
          <w:trHeight w:val="360"/>
        </w:trPr>
        <w:tc>
          <w:tcPr>
            <w:tcW w:w="121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2018</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15.8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22.9</w:t>
            </w:r>
          </w:p>
        </w:tc>
      </w:tr>
      <w:tr w:rsidR="00E7185E" w:rsidRPr="00E7185E" w:rsidTr="00F15A2F">
        <w:trPr>
          <w:trHeight w:val="360"/>
        </w:trPr>
        <w:tc>
          <w:tcPr>
            <w:tcW w:w="121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2019</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23.2</w:t>
            </w:r>
          </w:p>
        </w:tc>
      </w:tr>
      <w:tr w:rsidR="00E7185E" w:rsidRPr="00E7185E" w:rsidTr="00F15A2F">
        <w:trPr>
          <w:trHeight w:val="360"/>
        </w:trPr>
        <w:tc>
          <w:tcPr>
            <w:tcW w:w="121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2020</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23.6</w:t>
            </w:r>
          </w:p>
        </w:tc>
      </w:tr>
      <w:tr w:rsidR="00E7185E" w:rsidRPr="00E7185E" w:rsidTr="00F15A2F">
        <w:trPr>
          <w:trHeight w:val="360"/>
        </w:trPr>
        <w:tc>
          <w:tcPr>
            <w:tcW w:w="121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2021</w:t>
            </w:r>
          </w:p>
        </w:tc>
        <w:tc>
          <w:tcPr>
            <w:tcW w:w="140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23.9</w:t>
            </w:r>
          </w:p>
        </w:tc>
      </w:tr>
      <w:tr w:rsidR="00E7185E" w:rsidRPr="00E7185E" w:rsidTr="00F15A2F">
        <w:trPr>
          <w:trHeight w:val="360"/>
        </w:trPr>
        <w:tc>
          <w:tcPr>
            <w:tcW w:w="121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nil"/>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2022</w:t>
            </w:r>
          </w:p>
        </w:tc>
        <w:tc>
          <w:tcPr>
            <w:tcW w:w="1400" w:type="dxa"/>
            <w:tcBorders>
              <w:top w:val="nil"/>
              <w:left w:val="single" w:sz="4" w:space="0" w:color="000000"/>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24.2</w:t>
            </w:r>
          </w:p>
        </w:tc>
      </w:tr>
      <w:tr w:rsidR="00E7185E" w:rsidRPr="00E7185E" w:rsidTr="00F15A2F">
        <w:trPr>
          <w:trHeight w:val="360"/>
        </w:trPr>
        <w:tc>
          <w:tcPr>
            <w:tcW w:w="121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1170" w:type="dxa"/>
            <w:tcBorders>
              <w:top w:val="nil"/>
              <w:left w:val="nil"/>
              <w:bottom w:val="single" w:sz="4" w:space="0" w:color="000000"/>
              <w:right w:val="nil"/>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2023</w:t>
            </w:r>
          </w:p>
        </w:tc>
        <w:tc>
          <w:tcPr>
            <w:tcW w:w="1400" w:type="dxa"/>
            <w:tcBorders>
              <w:top w:val="nil"/>
              <w:left w:val="single" w:sz="4" w:space="0" w:color="000000"/>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24.6</w:t>
            </w:r>
          </w:p>
        </w:tc>
      </w:tr>
    </w:tbl>
    <w:p w:rsidR="00E7185E" w:rsidRDefault="00E7185E" w:rsidP="00E7185E">
      <w:pPr>
        <w:pStyle w:val="BodyParagraph"/>
      </w:pPr>
    </w:p>
    <w:p w:rsidR="00E7185E" w:rsidRDefault="00E7185E" w:rsidP="00E7185E">
      <w:pPr>
        <w:pStyle w:val="BodyParagraph"/>
      </w:pPr>
    </w:p>
    <w:p w:rsidR="008D48E1" w:rsidRDefault="008D48E1" w:rsidP="008D48E1">
      <w:pPr>
        <w:pStyle w:val="Heading2"/>
        <w:spacing w:before="360"/>
      </w:pPr>
      <w:bookmarkStart w:id="216" w:name="_Toc352323667"/>
      <w:r>
        <w:t>Medium C&amp;I Ex Ante Impacts</w:t>
      </w:r>
      <w:bookmarkEnd w:id="214"/>
      <w:bookmarkEnd w:id="215"/>
      <w:bookmarkEnd w:id="216"/>
    </w:p>
    <w:p w:rsidR="008D48E1" w:rsidRDefault="008D48E1" w:rsidP="008D48E1">
      <w:pPr>
        <w:pStyle w:val="BodyParagraph"/>
        <w:rPr>
          <w:shd w:val="clear" w:color="auto" w:fill="FFFFFF" w:themeFill="background1"/>
        </w:rPr>
      </w:pPr>
      <w:r w:rsidRPr="002C0D7C">
        <w:t xml:space="preserve">For SDG&amp;E, there is </w:t>
      </w:r>
      <w:r>
        <w:t xml:space="preserve">more </w:t>
      </w:r>
      <w:r w:rsidRPr="002C0D7C">
        <w:t>data available on how much load reduction medium customers provide during default CPP events</w:t>
      </w:r>
      <w:r>
        <w:t xml:space="preserve"> than there is for other utilities.</w:t>
      </w:r>
      <w:r w:rsidRPr="002C0D7C">
        <w:t xml:space="preserve">  In addition, </w:t>
      </w:r>
      <w:r>
        <w:t>SDG&amp;E’s expected</w:t>
      </w:r>
      <w:r w:rsidRPr="002C0D7C">
        <w:t xml:space="preserve"> retention rates for default CPP are better understood than </w:t>
      </w:r>
      <w:r>
        <w:t>for the</w:t>
      </w:r>
      <w:r w:rsidRPr="002C0D7C">
        <w:t xml:space="preserve"> other utilities. </w:t>
      </w:r>
      <w:r>
        <w:t xml:space="preserve"> M</w:t>
      </w:r>
      <w:r w:rsidRPr="00BD0111">
        <w:rPr>
          <w:shd w:val="clear" w:color="auto" w:fill="FFFFFF" w:themeFill="background1"/>
        </w:rPr>
        <w:t xml:space="preserve">edium </w:t>
      </w:r>
      <w:r>
        <w:rPr>
          <w:shd w:val="clear" w:color="auto" w:fill="FFFFFF" w:themeFill="background1"/>
        </w:rPr>
        <w:t>customers</w:t>
      </w:r>
      <w:r w:rsidRPr="00BD0111">
        <w:rPr>
          <w:shd w:val="clear" w:color="auto" w:fill="FFFFFF" w:themeFill="background1"/>
        </w:rPr>
        <w:t xml:space="preserve"> are on the same rate, AL-TOU, as large </w:t>
      </w:r>
      <w:r>
        <w:rPr>
          <w:shd w:val="clear" w:color="auto" w:fill="FFFFFF" w:themeFill="background1"/>
        </w:rPr>
        <w:t>ones</w:t>
      </w:r>
      <w:r w:rsidRPr="00BD0111">
        <w:rPr>
          <w:shd w:val="clear" w:color="auto" w:fill="FFFFFF" w:themeFill="background1"/>
        </w:rPr>
        <w:t xml:space="preserve">.  </w:t>
      </w:r>
      <w:r>
        <w:rPr>
          <w:shd w:val="clear" w:color="auto" w:fill="FFFFFF" w:themeFill="background1"/>
        </w:rPr>
        <w:t xml:space="preserve">In addition, </w:t>
      </w:r>
      <w:r w:rsidRPr="00BD0111">
        <w:rPr>
          <w:shd w:val="clear" w:color="auto" w:fill="FFFFFF" w:themeFill="background1"/>
        </w:rPr>
        <w:t>SDG&amp;E defaulted roughly 600 medium customer accounts onto CPP</w:t>
      </w:r>
      <w:r>
        <w:rPr>
          <w:shd w:val="clear" w:color="auto" w:fill="FFFFFF" w:themeFill="background1"/>
        </w:rPr>
        <w:t xml:space="preserve"> </w:t>
      </w:r>
      <w:r w:rsidRPr="00BD0111">
        <w:rPr>
          <w:shd w:val="clear" w:color="auto" w:fill="FFFFFF" w:themeFill="background1"/>
        </w:rPr>
        <w:t>between 2008 and 201</w:t>
      </w:r>
      <w:r>
        <w:rPr>
          <w:shd w:val="clear" w:color="auto" w:fill="FFFFFF" w:themeFill="background1"/>
        </w:rPr>
        <w:t>2</w:t>
      </w:r>
      <w:r w:rsidRPr="00BD0111">
        <w:rPr>
          <w:shd w:val="clear" w:color="auto" w:fill="FFFFFF" w:themeFill="background1"/>
        </w:rPr>
        <w:t xml:space="preserve">, and approximately 400 remained on the rate.  </w:t>
      </w:r>
    </w:p>
    <w:p w:rsidR="008D48E1" w:rsidRDefault="008D48E1" w:rsidP="008D48E1">
      <w:pPr>
        <w:pStyle w:val="BodyParagraph"/>
      </w:pPr>
      <w:r>
        <w:lastRenderedPageBreak/>
        <w:t xml:space="preserve">Although SDG&amp;E has more information about medium customer price responsiveness for default CPP, overall, there remains a high degree of uncertainty for both enrollment and demand reductions.  </w:t>
      </w:r>
      <w:r>
        <w:rPr>
          <w:shd w:val="clear" w:color="auto" w:fill="FFFFFF" w:themeFill="background1"/>
        </w:rPr>
        <w:t xml:space="preserve">The </w:t>
      </w:r>
      <w:r w:rsidRPr="002C0D7C">
        <w:t>medium customers that were defaulted early are not representative of the general medium C&amp;I population.</w:t>
      </w:r>
      <w:r>
        <w:t xml:space="preserve">  Medium customers defaulted onto CPP were among the largest medium sized customers and had a disproportionate number of schools. </w:t>
      </w:r>
      <w:r w:rsidRPr="002C0D7C">
        <w:t xml:space="preserve"> To obtain a larger and more diverse sample of customers for the medium customer price-responsiveness analysis, customers with average</w:t>
      </w:r>
      <w:r>
        <w:t xml:space="preserve"> annual</w:t>
      </w:r>
      <w:r w:rsidRPr="002C0D7C">
        <w:t xml:space="preserve"> hourly demand below </w:t>
      </w:r>
      <w:r>
        <w:t>2</w:t>
      </w:r>
      <w:r w:rsidRPr="002C0D7C">
        <w:t>00 kW were also included along with medium customers.</w:t>
      </w:r>
      <w:r w:rsidRPr="002C0D7C">
        <w:rPr>
          <w:rStyle w:val="FootnoteReference"/>
        </w:rPr>
        <w:footnoteReference w:id="29"/>
      </w:r>
      <w:r w:rsidRPr="002C0D7C">
        <w:t xml:space="preserve">  In other words, customers that are slightly above the large customer threshold were used as a proxy for medium customers.  </w:t>
      </w:r>
      <w:r>
        <w:t>As with large customers, the ex ante impacts were developed solely using 2012 events analyzed using difference-in-differences.</w:t>
      </w:r>
      <w:r w:rsidRPr="002C0D7C">
        <w:t xml:space="preserve">  </w:t>
      </w:r>
    </w:p>
    <w:p w:rsidR="008D48E1" w:rsidRDefault="008D48E1" w:rsidP="008D48E1">
      <w:pPr>
        <w:pStyle w:val="BodyParagraph"/>
      </w:pPr>
      <w:r>
        <w:t>Table 9-</w:t>
      </w:r>
      <w:r w:rsidR="00F15A2F">
        <w:t>4</w:t>
      </w:r>
      <w:r>
        <w:t xml:space="preserve"> compares the industry mix of the estimating sample to the industry mix expected to remain on default CPP.  It also summarizes the percent demand reductions, by industry, for the estimating sample.  The ex ante impacts adjust for differences in industry mix between the estimating sample and medium customers. </w:t>
      </w:r>
    </w:p>
    <w:p w:rsidR="008D48E1" w:rsidRDefault="008D48E1" w:rsidP="008D48E1">
      <w:pPr>
        <w:pStyle w:val="TableFigureCaption"/>
      </w:pPr>
      <w:r>
        <w:t>Table 9-</w:t>
      </w:r>
      <w:r w:rsidR="00F15A2F">
        <w:t>4</w:t>
      </w:r>
      <w:r>
        <w:t>: SDG&amp;E Industry Distribution for Estimating Sample and Medium Population</w:t>
      </w:r>
    </w:p>
    <w:tbl>
      <w:tblPr>
        <w:tblW w:w="8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0"/>
        <w:gridCol w:w="1080"/>
        <w:gridCol w:w="960"/>
        <w:gridCol w:w="1250"/>
        <w:gridCol w:w="879"/>
        <w:gridCol w:w="1408"/>
      </w:tblGrid>
      <w:tr w:rsidR="008D48E1" w:rsidRPr="008629BE" w:rsidTr="00A97AA9">
        <w:trPr>
          <w:trHeight w:val="720"/>
          <w:jc w:val="center"/>
        </w:trPr>
        <w:tc>
          <w:tcPr>
            <w:tcW w:w="3360" w:type="dxa"/>
            <w:vMerge w:val="restart"/>
            <w:tcBorders>
              <w:right w:val="single" w:sz="4" w:space="0" w:color="FFFFFF" w:themeColor="background1"/>
            </w:tcBorders>
            <w:shd w:val="clear" w:color="000000" w:fill="1F497D" w:themeFill="text2"/>
            <w:vAlign w:val="center"/>
            <w:hideMark/>
          </w:tcPr>
          <w:p w:rsidR="008D48E1" w:rsidRPr="008629BE" w:rsidRDefault="008D48E1" w:rsidP="005608E9">
            <w:pPr>
              <w:pStyle w:val="TableHeader"/>
              <w:rPr>
                <w:rFonts w:cs="Arial"/>
                <w:sz w:val="18"/>
                <w:szCs w:val="18"/>
              </w:rPr>
            </w:pPr>
            <w:r w:rsidRPr="008629BE">
              <w:rPr>
                <w:rFonts w:cs="Arial"/>
                <w:sz w:val="18"/>
                <w:szCs w:val="18"/>
              </w:rPr>
              <w:t>Industry</w:t>
            </w:r>
          </w:p>
        </w:tc>
        <w:tc>
          <w:tcPr>
            <w:tcW w:w="1080" w:type="dxa"/>
            <w:vMerge w:val="restart"/>
            <w:tcBorders>
              <w:left w:val="single" w:sz="4" w:space="0" w:color="FFFFFF" w:themeColor="background1"/>
              <w:right w:val="single" w:sz="4" w:space="0" w:color="FFFFFF" w:themeColor="background1"/>
            </w:tcBorders>
            <w:shd w:val="clear" w:color="000000" w:fill="1F497D" w:themeFill="text2"/>
            <w:vAlign w:val="center"/>
            <w:hideMark/>
          </w:tcPr>
          <w:p w:rsidR="008D48E1" w:rsidRPr="008629BE" w:rsidRDefault="008D48E1" w:rsidP="005608E9">
            <w:pPr>
              <w:pStyle w:val="TableHeader"/>
              <w:rPr>
                <w:rFonts w:cs="Arial"/>
                <w:sz w:val="18"/>
                <w:szCs w:val="18"/>
              </w:rPr>
            </w:pPr>
            <w:r w:rsidRPr="008629BE">
              <w:rPr>
                <w:rFonts w:cs="Arial"/>
                <w:sz w:val="18"/>
                <w:szCs w:val="18"/>
              </w:rPr>
              <w:t>Medium Proxy Accts</w:t>
            </w:r>
          </w:p>
        </w:tc>
        <w:tc>
          <w:tcPr>
            <w:tcW w:w="960" w:type="dxa"/>
            <w:vMerge w:val="restart"/>
            <w:tcBorders>
              <w:left w:val="single" w:sz="4" w:space="0" w:color="FFFFFF" w:themeColor="background1"/>
              <w:right w:val="single" w:sz="4" w:space="0" w:color="FFFFFF" w:themeColor="background1"/>
            </w:tcBorders>
            <w:shd w:val="clear" w:color="000000" w:fill="1F497D" w:themeFill="text2"/>
            <w:vAlign w:val="center"/>
            <w:hideMark/>
          </w:tcPr>
          <w:p w:rsidR="008D48E1" w:rsidRPr="008629BE" w:rsidRDefault="008D48E1" w:rsidP="005608E9">
            <w:pPr>
              <w:pStyle w:val="TableHeader"/>
              <w:rPr>
                <w:rFonts w:cs="Arial"/>
                <w:sz w:val="18"/>
                <w:szCs w:val="18"/>
              </w:rPr>
            </w:pPr>
            <w:r w:rsidRPr="008629BE">
              <w:rPr>
                <w:rFonts w:cs="Arial"/>
                <w:sz w:val="18"/>
                <w:szCs w:val="18"/>
              </w:rPr>
              <w:t>%</w:t>
            </w:r>
          </w:p>
        </w:tc>
        <w:tc>
          <w:tcPr>
            <w:tcW w:w="1250" w:type="dxa"/>
            <w:vMerge w:val="restart"/>
            <w:tcBorders>
              <w:left w:val="single" w:sz="4" w:space="0" w:color="FFFFFF" w:themeColor="background1"/>
              <w:right w:val="single" w:sz="4" w:space="0" w:color="FFFFFF" w:themeColor="background1"/>
            </w:tcBorders>
            <w:shd w:val="clear" w:color="000000" w:fill="1F497D" w:themeFill="text2"/>
            <w:vAlign w:val="center"/>
            <w:hideMark/>
          </w:tcPr>
          <w:p w:rsidR="008D48E1" w:rsidRPr="008629BE" w:rsidRDefault="008D48E1" w:rsidP="005608E9">
            <w:pPr>
              <w:pStyle w:val="TableHeader"/>
              <w:rPr>
                <w:rFonts w:cs="Arial"/>
                <w:sz w:val="18"/>
                <w:szCs w:val="18"/>
              </w:rPr>
            </w:pPr>
            <w:r w:rsidRPr="008629BE">
              <w:rPr>
                <w:rFonts w:cs="Arial"/>
                <w:sz w:val="18"/>
                <w:szCs w:val="18"/>
              </w:rPr>
              <w:t>Medium Population</w:t>
            </w:r>
          </w:p>
        </w:tc>
        <w:tc>
          <w:tcPr>
            <w:tcW w:w="879" w:type="dxa"/>
            <w:vMerge w:val="restart"/>
            <w:tcBorders>
              <w:left w:val="single" w:sz="4" w:space="0" w:color="FFFFFF" w:themeColor="background1"/>
              <w:right w:val="single" w:sz="4" w:space="0" w:color="FFFFFF" w:themeColor="background1"/>
            </w:tcBorders>
            <w:shd w:val="clear" w:color="000000" w:fill="1F497D" w:themeFill="text2"/>
            <w:vAlign w:val="center"/>
            <w:hideMark/>
          </w:tcPr>
          <w:p w:rsidR="008D48E1" w:rsidRPr="008629BE" w:rsidRDefault="008D48E1" w:rsidP="005608E9">
            <w:pPr>
              <w:pStyle w:val="TableHeader"/>
              <w:rPr>
                <w:rFonts w:cs="Arial"/>
                <w:sz w:val="18"/>
                <w:szCs w:val="18"/>
              </w:rPr>
            </w:pPr>
            <w:r w:rsidRPr="008629BE">
              <w:rPr>
                <w:rFonts w:cs="Arial"/>
                <w:sz w:val="18"/>
                <w:szCs w:val="18"/>
              </w:rPr>
              <w:t>%</w:t>
            </w:r>
          </w:p>
        </w:tc>
        <w:tc>
          <w:tcPr>
            <w:tcW w:w="1408" w:type="dxa"/>
            <w:vMerge w:val="restart"/>
            <w:tcBorders>
              <w:left w:val="single" w:sz="4" w:space="0" w:color="FFFFFF" w:themeColor="background1"/>
            </w:tcBorders>
            <w:shd w:val="clear" w:color="000000" w:fill="1F497D" w:themeFill="text2"/>
            <w:vAlign w:val="center"/>
            <w:hideMark/>
          </w:tcPr>
          <w:p w:rsidR="008D48E1" w:rsidRPr="008629BE" w:rsidRDefault="008D48E1" w:rsidP="005608E9">
            <w:pPr>
              <w:pStyle w:val="TableHeader"/>
              <w:rPr>
                <w:rFonts w:cs="Arial"/>
                <w:sz w:val="18"/>
                <w:szCs w:val="18"/>
              </w:rPr>
            </w:pPr>
            <w:r w:rsidRPr="008629BE">
              <w:rPr>
                <w:rFonts w:cs="Arial"/>
                <w:sz w:val="18"/>
                <w:szCs w:val="18"/>
              </w:rPr>
              <w:t>% Demand Reductions</w:t>
            </w:r>
          </w:p>
          <w:p w:rsidR="008D48E1" w:rsidRPr="008629BE" w:rsidRDefault="008D48E1" w:rsidP="005608E9">
            <w:pPr>
              <w:pStyle w:val="TableHeader"/>
              <w:rPr>
                <w:rFonts w:cs="Arial"/>
                <w:sz w:val="18"/>
                <w:szCs w:val="18"/>
              </w:rPr>
            </w:pPr>
            <w:r w:rsidRPr="008629BE">
              <w:rPr>
                <w:rFonts w:cs="Arial"/>
                <w:sz w:val="18"/>
                <w:szCs w:val="18"/>
              </w:rPr>
              <w:t>(Medium Proxy Accts)</w:t>
            </w:r>
          </w:p>
        </w:tc>
      </w:tr>
      <w:tr w:rsidR="008D48E1" w:rsidRPr="008629BE" w:rsidTr="00A97AA9">
        <w:trPr>
          <w:trHeight w:val="315"/>
          <w:jc w:val="center"/>
        </w:trPr>
        <w:tc>
          <w:tcPr>
            <w:tcW w:w="3360" w:type="dxa"/>
            <w:vMerge/>
            <w:tcBorders>
              <w:top w:val="single" w:sz="4" w:space="0" w:color="FFFFFF" w:themeColor="background1"/>
              <w:right w:val="single" w:sz="4" w:space="0" w:color="FFFFFF" w:themeColor="background1"/>
            </w:tcBorders>
            <w:shd w:val="clear" w:color="000000" w:fill="1F497D" w:themeFill="text2"/>
            <w:vAlign w:val="center"/>
            <w:hideMark/>
          </w:tcPr>
          <w:p w:rsidR="008D48E1" w:rsidRPr="008629BE" w:rsidRDefault="008D48E1" w:rsidP="005608E9">
            <w:pPr>
              <w:spacing w:after="0" w:line="240" w:lineRule="auto"/>
              <w:rPr>
                <w:rFonts w:ascii="Arial" w:eastAsia="Times New Roman" w:hAnsi="Arial" w:cs="Arial"/>
                <w:b/>
                <w:bCs/>
                <w:color w:val="FFFFFF"/>
                <w:sz w:val="18"/>
                <w:szCs w:val="18"/>
              </w:rPr>
            </w:pPr>
          </w:p>
        </w:tc>
        <w:tc>
          <w:tcPr>
            <w:tcW w:w="1080" w:type="dxa"/>
            <w:vMerge/>
            <w:tcBorders>
              <w:top w:val="single" w:sz="4" w:space="0" w:color="FFFFFF" w:themeColor="background1"/>
              <w:left w:val="single" w:sz="4" w:space="0" w:color="FFFFFF" w:themeColor="background1"/>
              <w:right w:val="single" w:sz="4" w:space="0" w:color="FFFFFF" w:themeColor="background1"/>
            </w:tcBorders>
            <w:shd w:val="clear" w:color="000000" w:fill="1F497D" w:themeFill="text2"/>
            <w:vAlign w:val="center"/>
            <w:hideMark/>
          </w:tcPr>
          <w:p w:rsidR="008D48E1" w:rsidRPr="008629BE" w:rsidRDefault="008D48E1" w:rsidP="005608E9">
            <w:pPr>
              <w:spacing w:after="0" w:line="240" w:lineRule="auto"/>
              <w:rPr>
                <w:rFonts w:ascii="Arial" w:eastAsia="Times New Roman" w:hAnsi="Arial" w:cs="Arial"/>
                <w:b/>
                <w:bCs/>
                <w:color w:val="FFFFFF"/>
                <w:sz w:val="18"/>
                <w:szCs w:val="18"/>
              </w:rPr>
            </w:pPr>
          </w:p>
        </w:tc>
        <w:tc>
          <w:tcPr>
            <w:tcW w:w="960" w:type="dxa"/>
            <w:vMerge/>
            <w:tcBorders>
              <w:top w:val="single" w:sz="4" w:space="0" w:color="FFFFFF" w:themeColor="background1"/>
              <w:left w:val="single" w:sz="4" w:space="0" w:color="FFFFFF" w:themeColor="background1"/>
              <w:right w:val="single" w:sz="4" w:space="0" w:color="FFFFFF" w:themeColor="background1"/>
            </w:tcBorders>
            <w:shd w:val="clear" w:color="000000" w:fill="1F497D" w:themeFill="text2"/>
            <w:vAlign w:val="center"/>
            <w:hideMark/>
          </w:tcPr>
          <w:p w:rsidR="008D48E1" w:rsidRPr="008629BE" w:rsidRDefault="008D48E1" w:rsidP="005608E9">
            <w:pPr>
              <w:spacing w:after="0" w:line="240" w:lineRule="auto"/>
              <w:rPr>
                <w:rFonts w:ascii="Arial" w:eastAsia="Times New Roman" w:hAnsi="Arial" w:cs="Arial"/>
                <w:b/>
                <w:bCs/>
                <w:color w:val="FFFFFF"/>
                <w:sz w:val="18"/>
                <w:szCs w:val="18"/>
              </w:rPr>
            </w:pPr>
          </w:p>
        </w:tc>
        <w:tc>
          <w:tcPr>
            <w:tcW w:w="1250" w:type="dxa"/>
            <w:vMerge/>
            <w:tcBorders>
              <w:top w:val="single" w:sz="4" w:space="0" w:color="FFFFFF" w:themeColor="background1"/>
              <w:left w:val="single" w:sz="4" w:space="0" w:color="FFFFFF" w:themeColor="background1"/>
              <w:right w:val="single" w:sz="4" w:space="0" w:color="FFFFFF" w:themeColor="background1"/>
            </w:tcBorders>
            <w:shd w:val="clear" w:color="000000" w:fill="1F497D" w:themeFill="text2"/>
            <w:vAlign w:val="center"/>
            <w:hideMark/>
          </w:tcPr>
          <w:p w:rsidR="008D48E1" w:rsidRPr="008629BE" w:rsidRDefault="008D48E1" w:rsidP="005608E9">
            <w:pPr>
              <w:spacing w:after="0" w:line="240" w:lineRule="auto"/>
              <w:rPr>
                <w:rFonts w:ascii="Arial" w:eastAsia="Times New Roman" w:hAnsi="Arial" w:cs="Arial"/>
                <w:b/>
                <w:bCs/>
                <w:color w:val="FFFFFF"/>
                <w:sz w:val="18"/>
                <w:szCs w:val="18"/>
              </w:rPr>
            </w:pPr>
          </w:p>
        </w:tc>
        <w:tc>
          <w:tcPr>
            <w:tcW w:w="879" w:type="dxa"/>
            <w:vMerge/>
            <w:tcBorders>
              <w:top w:val="single" w:sz="4" w:space="0" w:color="FFFFFF" w:themeColor="background1"/>
              <w:left w:val="single" w:sz="4" w:space="0" w:color="FFFFFF" w:themeColor="background1"/>
              <w:right w:val="single" w:sz="4" w:space="0" w:color="FFFFFF" w:themeColor="background1"/>
            </w:tcBorders>
            <w:shd w:val="clear" w:color="000000" w:fill="1F497D" w:themeFill="text2"/>
            <w:vAlign w:val="center"/>
            <w:hideMark/>
          </w:tcPr>
          <w:p w:rsidR="008D48E1" w:rsidRPr="008629BE" w:rsidRDefault="008D48E1" w:rsidP="005608E9">
            <w:pPr>
              <w:spacing w:after="0" w:line="240" w:lineRule="auto"/>
              <w:rPr>
                <w:rFonts w:ascii="Arial" w:eastAsia="Times New Roman" w:hAnsi="Arial" w:cs="Arial"/>
                <w:b/>
                <w:bCs/>
                <w:color w:val="FFFFFF"/>
                <w:sz w:val="18"/>
                <w:szCs w:val="18"/>
              </w:rPr>
            </w:pPr>
          </w:p>
        </w:tc>
        <w:tc>
          <w:tcPr>
            <w:tcW w:w="1408" w:type="dxa"/>
            <w:vMerge/>
            <w:tcBorders>
              <w:top w:val="single" w:sz="4" w:space="0" w:color="FFFFFF" w:themeColor="background1"/>
              <w:left w:val="single" w:sz="4" w:space="0" w:color="FFFFFF" w:themeColor="background1"/>
            </w:tcBorders>
            <w:shd w:val="clear" w:color="000000" w:fill="1F497D" w:themeFill="text2"/>
            <w:vAlign w:val="center"/>
            <w:hideMark/>
          </w:tcPr>
          <w:p w:rsidR="008D48E1" w:rsidRPr="008629BE" w:rsidRDefault="008D48E1" w:rsidP="005608E9">
            <w:pPr>
              <w:spacing w:after="0" w:line="240" w:lineRule="auto"/>
              <w:rPr>
                <w:rFonts w:ascii="Arial" w:eastAsia="Times New Roman" w:hAnsi="Arial" w:cs="Arial"/>
                <w:b/>
                <w:bCs/>
                <w:color w:val="FFFFFF"/>
                <w:sz w:val="18"/>
                <w:szCs w:val="18"/>
              </w:rPr>
            </w:pPr>
          </w:p>
        </w:tc>
      </w:tr>
      <w:tr w:rsidR="008D48E1" w:rsidRPr="008629BE" w:rsidTr="005608E9">
        <w:trPr>
          <w:trHeight w:val="360"/>
          <w:jc w:val="center"/>
        </w:trPr>
        <w:tc>
          <w:tcPr>
            <w:tcW w:w="336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Agriculture, Mining &amp; Construction</w:t>
            </w:r>
            <w:r w:rsidRPr="008629BE">
              <w:rPr>
                <w:rFonts w:cs="Arial"/>
                <w:szCs w:val="18"/>
                <w:vertAlign w:val="superscript"/>
              </w:rPr>
              <w:t xml:space="preserve"> </w:t>
            </w:r>
            <w:r w:rsidR="00497509">
              <w:rPr>
                <w:rFonts w:cs="Arial"/>
                <w:szCs w:val="18"/>
                <w:vertAlign w:val="superscript"/>
              </w:rPr>
              <w:t>*</w:t>
            </w:r>
          </w:p>
        </w:tc>
        <w:tc>
          <w:tcPr>
            <w:tcW w:w="1080" w:type="dxa"/>
            <w:shd w:val="clear" w:color="auto" w:fill="auto"/>
            <w:noWrap/>
            <w:vAlign w:val="center"/>
            <w:hideMark/>
          </w:tcPr>
          <w:p w:rsidR="008D48E1" w:rsidRPr="008629BE" w:rsidRDefault="00CA470C" w:rsidP="005608E9">
            <w:pPr>
              <w:pStyle w:val="TableText"/>
              <w:rPr>
                <w:rFonts w:cs="Arial"/>
                <w:szCs w:val="18"/>
              </w:rPr>
            </w:pPr>
            <w:r>
              <w:rPr>
                <w:rFonts w:cs="Arial"/>
                <w:szCs w:val="18"/>
              </w:rPr>
              <w:t>–</w:t>
            </w:r>
          </w:p>
        </w:tc>
        <w:tc>
          <w:tcPr>
            <w:tcW w:w="960" w:type="dxa"/>
            <w:shd w:val="clear" w:color="auto" w:fill="auto"/>
            <w:noWrap/>
            <w:vAlign w:val="center"/>
            <w:hideMark/>
          </w:tcPr>
          <w:p w:rsidR="008D48E1" w:rsidRPr="008629BE" w:rsidRDefault="00CA470C" w:rsidP="005608E9">
            <w:pPr>
              <w:pStyle w:val="TableText"/>
              <w:rPr>
                <w:rFonts w:cs="Arial"/>
                <w:szCs w:val="18"/>
              </w:rPr>
            </w:pPr>
            <w:r>
              <w:rPr>
                <w:rFonts w:cs="Arial"/>
                <w:szCs w:val="18"/>
              </w:rPr>
              <w:t>–</w:t>
            </w:r>
          </w:p>
        </w:tc>
        <w:tc>
          <w:tcPr>
            <w:tcW w:w="125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390</w:t>
            </w:r>
          </w:p>
        </w:tc>
        <w:tc>
          <w:tcPr>
            <w:tcW w:w="879"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3.4%</w:t>
            </w:r>
          </w:p>
        </w:tc>
        <w:tc>
          <w:tcPr>
            <w:tcW w:w="1408" w:type="dxa"/>
            <w:shd w:val="clear" w:color="auto" w:fill="auto"/>
            <w:noWrap/>
            <w:vAlign w:val="center"/>
            <w:hideMark/>
          </w:tcPr>
          <w:p w:rsidR="008D48E1" w:rsidRPr="008629BE" w:rsidRDefault="00CA470C" w:rsidP="005608E9">
            <w:pPr>
              <w:pStyle w:val="TableText"/>
              <w:rPr>
                <w:rFonts w:cs="Arial"/>
                <w:szCs w:val="18"/>
              </w:rPr>
            </w:pPr>
            <w:r>
              <w:rPr>
                <w:rFonts w:cs="Arial"/>
                <w:szCs w:val="18"/>
              </w:rPr>
              <w:t>–</w:t>
            </w:r>
          </w:p>
        </w:tc>
      </w:tr>
      <w:tr w:rsidR="008D48E1" w:rsidRPr="008629BE" w:rsidTr="005608E9">
        <w:trPr>
          <w:trHeight w:val="360"/>
          <w:jc w:val="center"/>
        </w:trPr>
        <w:tc>
          <w:tcPr>
            <w:tcW w:w="336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Manufacturing</w:t>
            </w:r>
          </w:p>
        </w:tc>
        <w:tc>
          <w:tcPr>
            <w:tcW w:w="108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97</w:t>
            </w:r>
          </w:p>
        </w:tc>
        <w:tc>
          <w:tcPr>
            <w:tcW w:w="96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12.8%</w:t>
            </w:r>
          </w:p>
        </w:tc>
        <w:tc>
          <w:tcPr>
            <w:tcW w:w="125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832</w:t>
            </w:r>
          </w:p>
        </w:tc>
        <w:tc>
          <w:tcPr>
            <w:tcW w:w="879"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7.2%</w:t>
            </w:r>
          </w:p>
        </w:tc>
        <w:tc>
          <w:tcPr>
            <w:tcW w:w="1408"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9.3%</w:t>
            </w:r>
          </w:p>
        </w:tc>
      </w:tr>
      <w:tr w:rsidR="008D48E1" w:rsidRPr="008629BE" w:rsidTr="005608E9">
        <w:trPr>
          <w:trHeight w:val="360"/>
          <w:jc w:val="center"/>
        </w:trPr>
        <w:tc>
          <w:tcPr>
            <w:tcW w:w="3360" w:type="dxa"/>
            <w:shd w:val="clear" w:color="auto" w:fill="auto"/>
            <w:noWrap/>
            <w:vAlign w:val="center"/>
            <w:hideMark/>
          </w:tcPr>
          <w:p w:rsidR="008D48E1" w:rsidRPr="008629BE" w:rsidRDefault="00497509" w:rsidP="005608E9">
            <w:pPr>
              <w:pStyle w:val="TableText"/>
              <w:rPr>
                <w:rFonts w:cs="Arial"/>
                <w:szCs w:val="18"/>
              </w:rPr>
            </w:pPr>
            <w:r>
              <w:t>W</w:t>
            </w:r>
            <w:r w:rsidRPr="00230675">
              <w:t>holesale</w:t>
            </w:r>
            <w:r>
              <w:t>,</w:t>
            </w:r>
            <w:r w:rsidRPr="00230675">
              <w:t xml:space="preserve"> </w:t>
            </w:r>
            <w:r>
              <w:t>T</w:t>
            </w:r>
            <w:r w:rsidRPr="00230675">
              <w:t>r</w:t>
            </w:r>
            <w:r>
              <w:t>ansport &amp; Other Utilities</w:t>
            </w:r>
          </w:p>
        </w:tc>
        <w:tc>
          <w:tcPr>
            <w:tcW w:w="108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113</w:t>
            </w:r>
          </w:p>
        </w:tc>
        <w:tc>
          <w:tcPr>
            <w:tcW w:w="96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14.9%</w:t>
            </w:r>
          </w:p>
        </w:tc>
        <w:tc>
          <w:tcPr>
            <w:tcW w:w="125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733</w:t>
            </w:r>
          </w:p>
        </w:tc>
        <w:tc>
          <w:tcPr>
            <w:tcW w:w="879"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6.3%</w:t>
            </w:r>
          </w:p>
        </w:tc>
        <w:tc>
          <w:tcPr>
            <w:tcW w:w="1408"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15.9%</w:t>
            </w:r>
          </w:p>
        </w:tc>
      </w:tr>
      <w:tr w:rsidR="008D48E1" w:rsidRPr="008629BE" w:rsidTr="005608E9">
        <w:trPr>
          <w:trHeight w:val="360"/>
          <w:jc w:val="center"/>
        </w:trPr>
        <w:tc>
          <w:tcPr>
            <w:tcW w:w="336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Retail Stores</w:t>
            </w:r>
          </w:p>
        </w:tc>
        <w:tc>
          <w:tcPr>
            <w:tcW w:w="108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65</w:t>
            </w:r>
          </w:p>
        </w:tc>
        <w:tc>
          <w:tcPr>
            <w:tcW w:w="96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8.6%</w:t>
            </w:r>
          </w:p>
        </w:tc>
        <w:tc>
          <w:tcPr>
            <w:tcW w:w="125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1,905</w:t>
            </w:r>
          </w:p>
        </w:tc>
        <w:tc>
          <w:tcPr>
            <w:tcW w:w="879"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16.5%</w:t>
            </w:r>
          </w:p>
        </w:tc>
        <w:tc>
          <w:tcPr>
            <w:tcW w:w="1408"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11.4%</w:t>
            </w:r>
          </w:p>
        </w:tc>
      </w:tr>
      <w:tr w:rsidR="008D48E1" w:rsidRPr="008629BE" w:rsidTr="005608E9">
        <w:trPr>
          <w:trHeight w:val="360"/>
          <w:jc w:val="center"/>
        </w:trPr>
        <w:tc>
          <w:tcPr>
            <w:tcW w:w="336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Offices, Hotels, Finance</w:t>
            </w:r>
            <w:r w:rsidR="00497509">
              <w:rPr>
                <w:rFonts w:cs="Arial"/>
                <w:szCs w:val="18"/>
              </w:rPr>
              <w:t xml:space="preserve"> &amp;</w:t>
            </w:r>
            <w:r w:rsidRPr="008629BE">
              <w:rPr>
                <w:rFonts w:cs="Arial"/>
                <w:szCs w:val="18"/>
              </w:rPr>
              <w:t>Services</w:t>
            </w:r>
          </w:p>
        </w:tc>
        <w:tc>
          <w:tcPr>
            <w:tcW w:w="108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188</w:t>
            </w:r>
          </w:p>
        </w:tc>
        <w:tc>
          <w:tcPr>
            <w:tcW w:w="96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24.8%</w:t>
            </w:r>
          </w:p>
        </w:tc>
        <w:tc>
          <w:tcPr>
            <w:tcW w:w="125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5,334</w:t>
            </w:r>
          </w:p>
        </w:tc>
        <w:tc>
          <w:tcPr>
            <w:tcW w:w="879"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46.1%</w:t>
            </w:r>
          </w:p>
        </w:tc>
        <w:tc>
          <w:tcPr>
            <w:tcW w:w="1408"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2.8%</w:t>
            </w:r>
          </w:p>
        </w:tc>
      </w:tr>
      <w:tr w:rsidR="008D48E1" w:rsidRPr="008629BE" w:rsidTr="005608E9">
        <w:trPr>
          <w:trHeight w:val="360"/>
          <w:jc w:val="center"/>
        </w:trPr>
        <w:tc>
          <w:tcPr>
            <w:tcW w:w="336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Schools</w:t>
            </w:r>
          </w:p>
        </w:tc>
        <w:tc>
          <w:tcPr>
            <w:tcW w:w="108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204</w:t>
            </w:r>
          </w:p>
        </w:tc>
        <w:tc>
          <w:tcPr>
            <w:tcW w:w="96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26.9%</w:t>
            </w:r>
          </w:p>
        </w:tc>
        <w:tc>
          <w:tcPr>
            <w:tcW w:w="125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604</w:t>
            </w:r>
          </w:p>
        </w:tc>
        <w:tc>
          <w:tcPr>
            <w:tcW w:w="879"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5.2%</w:t>
            </w:r>
          </w:p>
        </w:tc>
        <w:tc>
          <w:tcPr>
            <w:tcW w:w="1408"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1.6%</w:t>
            </w:r>
          </w:p>
        </w:tc>
      </w:tr>
      <w:tr w:rsidR="008D48E1" w:rsidRPr="008629BE" w:rsidTr="005608E9">
        <w:trPr>
          <w:trHeight w:val="360"/>
          <w:jc w:val="center"/>
        </w:trPr>
        <w:tc>
          <w:tcPr>
            <w:tcW w:w="336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Institutional/Government</w:t>
            </w:r>
          </w:p>
        </w:tc>
        <w:tc>
          <w:tcPr>
            <w:tcW w:w="108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92</w:t>
            </w:r>
          </w:p>
        </w:tc>
        <w:tc>
          <w:tcPr>
            <w:tcW w:w="96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12.1%</w:t>
            </w:r>
          </w:p>
        </w:tc>
        <w:tc>
          <w:tcPr>
            <w:tcW w:w="1250"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1,781</w:t>
            </w:r>
          </w:p>
        </w:tc>
        <w:tc>
          <w:tcPr>
            <w:tcW w:w="879"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15.4%</w:t>
            </w:r>
          </w:p>
        </w:tc>
        <w:tc>
          <w:tcPr>
            <w:tcW w:w="1408" w:type="dxa"/>
            <w:shd w:val="clear" w:color="auto" w:fill="auto"/>
            <w:noWrap/>
            <w:vAlign w:val="center"/>
            <w:hideMark/>
          </w:tcPr>
          <w:p w:rsidR="008D48E1" w:rsidRPr="008629BE" w:rsidRDefault="008D48E1" w:rsidP="005608E9">
            <w:pPr>
              <w:pStyle w:val="TableText"/>
              <w:rPr>
                <w:rFonts w:cs="Arial"/>
                <w:szCs w:val="18"/>
              </w:rPr>
            </w:pPr>
            <w:r w:rsidRPr="008629BE">
              <w:rPr>
                <w:rFonts w:cs="Arial"/>
                <w:szCs w:val="18"/>
              </w:rPr>
              <w:t>3.9%</w:t>
            </w:r>
          </w:p>
        </w:tc>
      </w:tr>
      <w:tr w:rsidR="008D48E1" w:rsidRPr="008629BE" w:rsidTr="005608E9">
        <w:trPr>
          <w:trHeight w:val="327"/>
          <w:jc w:val="center"/>
        </w:trPr>
        <w:tc>
          <w:tcPr>
            <w:tcW w:w="8937" w:type="dxa"/>
            <w:gridSpan w:val="6"/>
            <w:vMerge w:val="restart"/>
            <w:tcBorders>
              <w:left w:val="single" w:sz="4" w:space="0" w:color="FFFFFF" w:themeColor="background1"/>
              <w:right w:val="single" w:sz="4" w:space="0" w:color="FFFFFF" w:themeColor="background1"/>
            </w:tcBorders>
            <w:shd w:val="clear" w:color="auto" w:fill="auto"/>
            <w:vAlign w:val="center"/>
            <w:hideMark/>
          </w:tcPr>
          <w:p w:rsidR="008D48E1" w:rsidRPr="008629BE" w:rsidRDefault="00497509" w:rsidP="005608E9">
            <w:pPr>
              <w:pStyle w:val="Footnote"/>
              <w:rPr>
                <w:rFonts w:ascii="Arial" w:hAnsi="Arial" w:cs="Arial"/>
                <w:szCs w:val="18"/>
              </w:rPr>
            </w:pPr>
            <w:r>
              <w:rPr>
                <w:rFonts w:ascii="Arial" w:hAnsi="Arial" w:cs="Arial"/>
                <w:szCs w:val="18"/>
                <w:vertAlign w:val="superscript"/>
              </w:rPr>
              <w:t>*</w:t>
            </w:r>
            <w:r w:rsidR="008D48E1" w:rsidRPr="008629BE">
              <w:rPr>
                <w:rFonts w:ascii="Arial" w:hAnsi="Arial" w:cs="Arial"/>
                <w:szCs w:val="18"/>
              </w:rPr>
              <w:t xml:space="preserve"> Control group matches could not be found for agricultural pumps because nearly all of them opted to remain on CPP or enrolled in other DR programs.</w:t>
            </w:r>
          </w:p>
        </w:tc>
      </w:tr>
      <w:tr w:rsidR="008D48E1" w:rsidRPr="008629BE" w:rsidTr="005608E9">
        <w:trPr>
          <w:trHeight w:val="300"/>
          <w:jc w:val="center"/>
        </w:trPr>
        <w:tc>
          <w:tcPr>
            <w:tcW w:w="8937" w:type="dxa"/>
            <w:gridSpan w:val="6"/>
            <w:vMerge/>
            <w:tcBorders>
              <w:left w:val="single" w:sz="4" w:space="0" w:color="FFFFFF" w:themeColor="background1"/>
              <w:bottom w:val="single" w:sz="4" w:space="0" w:color="FFFFFF" w:themeColor="background1"/>
              <w:right w:val="single" w:sz="4" w:space="0" w:color="FFFFFF" w:themeColor="background1"/>
            </w:tcBorders>
            <w:vAlign w:val="center"/>
            <w:hideMark/>
          </w:tcPr>
          <w:p w:rsidR="008D48E1" w:rsidRPr="008629BE" w:rsidRDefault="008D48E1" w:rsidP="005608E9">
            <w:pPr>
              <w:spacing w:after="0" w:line="240" w:lineRule="auto"/>
              <w:rPr>
                <w:rFonts w:ascii="Arial" w:eastAsia="Times New Roman" w:hAnsi="Arial" w:cs="Arial"/>
                <w:color w:val="000000"/>
                <w:sz w:val="18"/>
                <w:szCs w:val="18"/>
              </w:rPr>
            </w:pPr>
          </w:p>
        </w:tc>
      </w:tr>
    </w:tbl>
    <w:p w:rsidR="008D48E1" w:rsidRPr="00EB37BE" w:rsidRDefault="008D48E1" w:rsidP="008D48E1">
      <w:pPr>
        <w:pStyle w:val="BodyParaAfterTableFigure"/>
      </w:pPr>
      <w:r>
        <w:t xml:space="preserve">The medium customer ex ante impacts include </w:t>
      </w:r>
      <w:r w:rsidR="00FD4F5B">
        <w:t xml:space="preserve">one </w:t>
      </w:r>
      <w:r>
        <w:t>additional adjustments.  The impacts were adjusted down to reflect expected lower awareness rates among the medium population relative to large customers.  While large customers have an assigned account representative, many medium customers do not.  As a result, some customers may not be aware they were defaulted onto CPP or understand the rate.  The ex</w:t>
      </w:r>
      <w:r w:rsidR="00CA470C">
        <w:t xml:space="preserve"> </w:t>
      </w:r>
      <w:r>
        <w:t xml:space="preserve">ante impacts assume that awareness is low (relative to large customers) immediately after the default, 70%, and gradually increases to 90%.  </w:t>
      </w:r>
      <w:r w:rsidR="00B15979">
        <w:t>D</w:t>
      </w:r>
      <w:r>
        <w:t xml:space="preserve">epending on the year, the impacts are 70% to 90% of those observed among default CPP participants that are closest to medium customers.  </w:t>
      </w:r>
    </w:p>
    <w:p w:rsidR="008D48E1" w:rsidRDefault="008D48E1" w:rsidP="008D48E1">
      <w:pPr>
        <w:pStyle w:val="BodyParagraph"/>
      </w:pPr>
      <w:r>
        <w:lastRenderedPageBreak/>
        <w:t>Table 9-</w:t>
      </w:r>
      <w:r w:rsidR="00F15A2F">
        <w:t>5</w:t>
      </w:r>
      <w:r>
        <w:t xml:space="preserve"> shows SDG&amp;E's enrollment projections for medium customers through 2023.  All SDG&amp;E’s medium customers are expected to be defaulted onto CPP in 2014.  SDG&amp;E forecasted retention rates to vary by industry in a similar manner as they varied for large customers.  Notice that enrollment decreases immediately after the initial default year and increases thereafter.  This pattern reflects the fact that some customers who try out default CPP during the initial bill protection period opt-out once they have experienced the rate.  Enrollment growth from 2016</w:t>
      </w:r>
      <w:r w:rsidR="00CA470C">
        <w:t>–</w:t>
      </w:r>
      <w:r>
        <w:t xml:space="preserve">2023 reflects the expected growth of SDG&amp;E’s medium customer population. </w:t>
      </w:r>
    </w:p>
    <w:p w:rsidR="008D48E1" w:rsidRDefault="00F15A2F" w:rsidP="008D48E1">
      <w:pPr>
        <w:pStyle w:val="TableFigureCaption"/>
      </w:pPr>
      <w:r>
        <w:t>Table 9-5</w:t>
      </w:r>
      <w:r w:rsidR="008D48E1">
        <w:t xml:space="preserve">: SDG&amp;E’s Enrollment Projections for Medium </w:t>
      </w:r>
      <w:r w:rsidR="008D48E1">
        <w:br/>
        <w:t>CPP Customers by Forecast Year and Month</w:t>
      </w:r>
    </w:p>
    <w:tbl>
      <w:tblPr>
        <w:tblW w:w="5000" w:type="pct"/>
        <w:tblLook w:val="04A0" w:firstRow="1" w:lastRow="0" w:firstColumn="1" w:lastColumn="0" w:noHBand="0" w:noVBand="1"/>
      </w:tblPr>
      <w:tblGrid>
        <w:gridCol w:w="837"/>
        <w:gridCol w:w="718"/>
        <w:gridCol w:w="718"/>
        <w:gridCol w:w="718"/>
        <w:gridCol w:w="718"/>
        <w:gridCol w:w="718"/>
        <w:gridCol w:w="718"/>
        <w:gridCol w:w="718"/>
        <w:gridCol w:w="718"/>
        <w:gridCol w:w="718"/>
        <w:gridCol w:w="718"/>
        <w:gridCol w:w="719"/>
        <w:gridCol w:w="710"/>
      </w:tblGrid>
      <w:tr w:rsidR="008D48E1" w:rsidRPr="008629BE" w:rsidTr="00A97AA9">
        <w:trPr>
          <w:trHeight w:val="346"/>
        </w:trPr>
        <w:tc>
          <w:tcPr>
            <w:tcW w:w="385" w:type="pct"/>
            <w:tcBorders>
              <w:top w:val="single" w:sz="4" w:space="0" w:color="auto"/>
              <w:left w:val="single" w:sz="4" w:space="0" w:color="auto"/>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Forecast Year</w:t>
            </w:r>
          </w:p>
        </w:tc>
        <w:tc>
          <w:tcPr>
            <w:tcW w:w="385" w:type="pct"/>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Jan</w:t>
            </w:r>
          </w:p>
        </w:tc>
        <w:tc>
          <w:tcPr>
            <w:tcW w:w="385" w:type="pct"/>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Feb</w:t>
            </w:r>
          </w:p>
        </w:tc>
        <w:tc>
          <w:tcPr>
            <w:tcW w:w="385" w:type="pct"/>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Mar</w:t>
            </w:r>
          </w:p>
        </w:tc>
        <w:tc>
          <w:tcPr>
            <w:tcW w:w="385" w:type="pct"/>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Apr</w:t>
            </w:r>
          </w:p>
        </w:tc>
        <w:tc>
          <w:tcPr>
            <w:tcW w:w="385" w:type="pct"/>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May</w:t>
            </w:r>
          </w:p>
        </w:tc>
        <w:tc>
          <w:tcPr>
            <w:tcW w:w="385" w:type="pct"/>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Jun</w:t>
            </w:r>
          </w:p>
        </w:tc>
        <w:tc>
          <w:tcPr>
            <w:tcW w:w="385" w:type="pct"/>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Jul</w:t>
            </w:r>
          </w:p>
        </w:tc>
        <w:tc>
          <w:tcPr>
            <w:tcW w:w="385" w:type="pct"/>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Aug</w:t>
            </w:r>
          </w:p>
        </w:tc>
        <w:tc>
          <w:tcPr>
            <w:tcW w:w="385" w:type="pct"/>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Sep</w:t>
            </w:r>
          </w:p>
        </w:tc>
        <w:tc>
          <w:tcPr>
            <w:tcW w:w="385" w:type="pct"/>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Oct</w:t>
            </w:r>
          </w:p>
        </w:tc>
        <w:tc>
          <w:tcPr>
            <w:tcW w:w="385" w:type="pct"/>
            <w:tcBorders>
              <w:top w:val="single" w:sz="4" w:space="0" w:color="auto"/>
              <w:left w:val="nil"/>
              <w:bottom w:val="single" w:sz="4" w:space="0" w:color="auto"/>
              <w:right w:val="single" w:sz="4" w:space="0" w:color="FFFFFF"/>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Nov</w:t>
            </w:r>
          </w:p>
        </w:tc>
        <w:tc>
          <w:tcPr>
            <w:tcW w:w="380" w:type="pct"/>
            <w:tcBorders>
              <w:top w:val="single" w:sz="4" w:space="0" w:color="auto"/>
              <w:left w:val="nil"/>
              <w:bottom w:val="single" w:sz="4" w:space="0" w:color="auto"/>
              <w:right w:val="single" w:sz="4" w:space="0" w:color="auto"/>
            </w:tcBorders>
            <w:shd w:val="clear" w:color="000000" w:fill="1F497D" w:themeFill="text2"/>
            <w:tcMar>
              <w:left w:w="43" w:type="dxa"/>
              <w:right w:w="43" w:type="dxa"/>
            </w:tcMar>
            <w:vAlign w:val="center"/>
            <w:hideMark/>
          </w:tcPr>
          <w:p w:rsidR="008D48E1" w:rsidRPr="008629BE" w:rsidRDefault="008D48E1" w:rsidP="005608E9">
            <w:pPr>
              <w:pStyle w:val="TableHeader"/>
              <w:rPr>
                <w:rFonts w:cs="Arial"/>
                <w:sz w:val="18"/>
                <w:szCs w:val="18"/>
              </w:rPr>
            </w:pPr>
            <w:r w:rsidRPr="008629BE">
              <w:rPr>
                <w:rFonts w:cs="Arial"/>
                <w:sz w:val="18"/>
                <w:szCs w:val="18"/>
              </w:rPr>
              <w:t>Dec</w:t>
            </w:r>
          </w:p>
        </w:tc>
      </w:tr>
      <w:tr w:rsidR="008D48E1" w:rsidRPr="008629BE" w:rsidTr="005608E9">
        <w:trPr>
          <w:trHeight w:val="346"/>
        </w:trPr>
        <w:tc>
          <w:tcPr>
            <w:tcW w:w="385" w:type="pct"/>
            <w:tcBorders>
              <w:top w:val="nil"/>
              <w:left w:val="single" w:sz="4" w:space="0" w:color="auto"/>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2013</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0"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r>
      <w:tr w:rsidR="008D48E1" w:rsidRPr="008629BE" w:rsidTr="005608E9">
        <w:trPr>
          <w:trHeight w:val="346"/>
        </w:trPr>
        <w:tc>
          <w:tcPr>
            <w:tcW w:w="385" w:type="pct"/>
            <w:tcBorders>
              <w:top w:val="nil"/>
              <w:left w:val="single" w:sz="4" w:space="0" w:color="auto"/>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2014</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8,678</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8,688</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8,697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8,707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8,717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8,727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8,737</w:t>
            </w:r>
          </w:p>
        </w:tc>
        <w:tc>
          <w:tcPr>
            <w:tcW w:w="380"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8,747</w:t>
            </w:r>
          </w:p>
        </w:tc>
      </w:tr>
      <w:tr w:rsidR="008D48E1" w:rsidRPr="008629BE" w:rsidTr="005608E9">
        <w:trPr>
          <w:trHeight w:val="346"/>
        </w:trPr>
        <w:tc>
          <w:tcPr>
            <w:tcW w:w="385" w:type="pct"/>
            <w:tcBorders>
              <w:top w:val="nil"/>
              <w:left w:val="single" w:sz="4" w:space="0" w:color="auto"/>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2015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8,757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8,767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8,777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8,787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7,095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7,103</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7,111</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7,119</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7,128</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7,136</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7,144</w:t>
            </w:r>
          </w:p>
        </w:tc>
        <w:tc>
          <w:tcPr>
            <w:tcW w:w="380"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7,152</w:t>
            </w:r>
          </w:p>
        </w:tc>
      </w:tr>
      <w:tr w:rsidR="008D48E1" w:rsidRPr="008629BE" w:rsidTr="005608E9">
        <w:trPr>
          <w:trHeight w:val="346"/>
        </w:trPr>
        <w:tc>
          <w:tcPr>
            <w:tcW w:w="385" w:type="pct"/>
            <w:tcBorders>
              <w:top w:val="nil"/>
              <w:left w:val="single" w:sz="4" w:space="0" w:color="auto"/>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2016</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7,160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7,168</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7,176</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7,185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6,752</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6,760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6,768</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6,775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6,783</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6,791</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6,799</w:t>
            </w:r>
          </w:p>
        </w:tc>
        <w:tc>
          <w:tcPr>
            <w:tcW w:w="380"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6,806</w:t>
            </w:r>
          </w:p>
        </w:tc>
      </w:tr>
      <w:tr w:rsidR="008D48E1" w:rsidRPr="008629BE" w:rsidTr="005608E9">
        <w:trPr>
          <w:trHeight w:val="346"/>
        </w:trPr>
        <w:tc>
          <w:tcPr>
            <w:tcW w:w="385" w:type="pct"/>
            <w:tcBorders>
              <w:top w:val="nil"/>
              <w:left w:val="single" w:sz="4" w:space="0" w:color="auto"/>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2017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6,814</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6,818</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6,822</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6,830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6,837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6,845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6,853</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6,861</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6,869</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6,877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6,884</w:t>
            </w:r>
          </w:p>
        </w:tc>
        <w:tc>
          <w:tcPr>
            <w:tcW w:w="380"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6,892</w:t>
            </w:r>
          </w:p>
        </w:tc>
      </w:tr>
      <w:tr w:rsidR="008D48E1" w:rsidRPr="008629BE" w:rsidTr="005608E9">
        <w:trPr>
          <w:trHeight w:val="346"/>
        </w:trPr>
        <w:tc>
          <w:tcPr>
            <w:tcW w:w="385" w:type="pct"/>
            <w:tcBorders>
              <w:top w:val="nil"/>
              <w:left w:val="single" w:sz="4" w:space="0" w:color="auto"/>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2018</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6,900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6,908</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6,916</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6,924</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6,932</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6,940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6,947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6,955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6,963</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6,971</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6,979</w:t>
            </w:r>
          </w:p>
        </w:tc>
        <w:tc>
          <w:tcPr>
            <w:tcW w:w="380"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6,987</w:t>
            </w:r>
          </w:p>
        </w:tc>
      </w:tr>
      <w:tr w:rsidR="008D48E1" w:rsidRPr="008629BE" w:rsidTr="005608E9">
        <w:trPr>
          <w:trHeight w:val="346"/>
        </w:trPr>
        <w:tc>
          <w:tcPr>
            <w:tcW w:w="385" w:type="pct"/>
            <w:tcBorders>
              <w:top w:val="nil"/>
              <w:left w:val="single" w:sz="4" w:space="0" w:color="auto"/>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2019</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6,995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7,003</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7,019</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7,027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7,035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7,043</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7,051</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7,059</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7,067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7,075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7,083</w:t>
            </w:r>
          </w:p>
        </w:tc>
        <w:tc>
          <w:tcPr>
            <w:tcW w:w="380"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7,092</w:t>
            </w:r>
          </w:p>
        </w:tc>
      </w:tr>
      <w:tr w:rsidR="008D48E1" w:rsidRPr="008629BE" w:rsidTr="005608E9">
        <w:trPr>
          <w:trHeight w:val="346"/>
        </w:trPr>
        <w:tc>
          <w:tcPr>
            <w:tcW w:w="385" w:type="pct"/>
            <w:tcBorders>
              <w:top w:val="nil"/>
              <w:left w:val="single" w:sz="4" w:space="0" w:color="auto"/>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2020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7,100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7,108</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7,116</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7,124</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7,132</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7,140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7,148</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7,157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7,165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7,173</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7,181</w:t>
            </w:r>
          </w:p>
        </w:tc>
        <w:tc>
          <w:tcPr>
            <w:tcW w:w="380"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7,189</w:t>
            </w:r>
          </w:p>
        </w:tc>
      </w:tr>
      <w:tr w:rsidR="008D48E1" w:rsidRPr="008629BE" w:rsidTr="005608E9">
        <w:trPr>
          <w:trHeight w:val="346"/>
        </w:trPr>
        <w:tc>
          <w:tcPr>
            <w:tcW w:w="385" w:type="pct"/>
            <w:tcBorders>
              <w:top w:val="nil"/>
              <w:left w:val="single" w:sz="4" w:space="0" w:color="auto"/>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2021</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7,197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7,206</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7,214</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7,222</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7,230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7,239</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7,247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7,255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7,263</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7,272</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7,280</w:t>
            </w:r>
          </w:p>
        </w:tc>
        <w:tc>
          <w:tcPr>
            <w:tcW w:w="380"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7,288</w:t>
            </w:r>
          </w:p>
        </w:tc>
      </w:tr>
      <w:tr w:rsidR="008D48E1" w:rsidRPr="008629BE" w:rsidTr="005608E9">
        <w:trPr>
          <w:trHeight w:val="346"/>
        </w:trPr>
        <w:tc>
          <w:tcPr>
            <w:tcW w:w="385" w:type="pct"/>
            <w:tcBorders>
              <w:top w:val="nil"/>
              <w:left w:val="single" w:sz="4" w:space="0" w:color="auto"/>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2022</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7,297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7,305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7,313</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7,322</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7,330</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7,338</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7,347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7,355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7,363</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7,372</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7,380</w:t>
            </w:r>
          </w:p>
        </w:tc>
        <w:tc>
          <w:tcPr>
            <w:tcW w:w="380"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7,389</w:t>
            </w:r>
          </w:p>
        </w:tc>
      </w:tr>
      <w:tr w:rsidR="008D48E1" w:rsidRPr="008629BE" w:rsidTr="005608E9">
        <w:trPr>
          <w:trHeight w:val="346"/>
        </w:trPr>
        <w:tc>
          <w:tcPr>
            <w:tcW w:w="385" w:type="pct"/>
            <w:tcBorders>
              <w:top w:val="nil"/>
              <w:left w:val="single" w:sz="4" w:space="0" w:color="auto"/>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2023</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7,397</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7,406</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7,414</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7,422</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7,431</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7,439</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7,448</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7,456</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7,465</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7,473</w:t>
            </w:r>
          </w:p>
        </w:tc>
        <w:tc>
          <w:tcPr>
            <w:tcW w:w="385"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7,482</w:t>
            </w:r>
          </w:p>
        </w:tc>
        <w:tc>
          <w:tcPr>
            <w:tcW w:w="380" w:type="pct"/>
            <w:tcBorders>
              <w:top w:val="nil"/>
              <w:left w:val="nil"/>
              <w:bottom w:val="single" w:sz="4" w:space="0" w:color="auto"/>
              <w:right w:val="single" w:sz="4" w:space="0" w:color="auto"/>
            </w:tcBorders>
            <w:shd w:val="clear" w:color="auto" w:fill="auto"/>
            <w:tcMar>
              <w:left w:w="43" w:type="dxa"/>
              <w:right w:w="43" w:type="dxa"/>
            </w:tcMar>
            <w:vAlign w:val="center"/>
            <w:hideMark/>
          </w:tcPr>
          <w:p w:rsidR="008D48E1" w:rsidRPr="008629BE" w:rsidRDefault="008D48E1" w:rsidP="005608E9">
            <w:pPr>
              <w:pStyle w:val="TableText"/>
              <w:rPr>
                <w:rFonts w:cs="Arial"/>
                <w:szCs w:val="18"/>
              </w:rPr>
            </w:pPr>
            <w:r w:rsidRPr="008629BE">
              <w:rPr>
                <w:rFonts w:cs="Arial"/>
                <w:szCs w:val="18"/>
              </w:rPr>
              <w:t>7,490</w:t>
            </w:r>
          </w:p>
        </w:tc>
      </w:tr>
    </w:tbl>
    <w:p w:rsidR="008D48E1" w:rsidRDefault="00F15A2F" w:rsidP="00FC7FFB">
      <w:pPr>
        <w:pStyle w:val="BodyParaAfterTableFigure"/>
      </w:pPr>
      <w:r>
        <w:t>Table 9-6</w:t>
      </w:r>
      <w:r w:rsidR="008D48E1">
        <w:t xml:space="preserve"> summarizes the aggregate load impact estimates for medium customers on SDG&amp;E’s CPP tariff for each forecast year under both 1-in-2 and 1-in-10 weather year scenarios.  The table shows the average load reduction across the 11 AM to 6 PM event period for an August monthly system peak day. </w:t>
      </w:r>
      <w:r w:rsidR="008D48E1">
        <w:br w:type="page"/>
      </w:r>
    </w:p>
    <w:p w:rsidR="008D48E1" w:rsidRDefault="00F15A2F" w:rsidP="008D48E1">
      <w:pPr>
        <w:pStyle w:val="TableFigureCaption"/>
      </w:pPr>
      <w:r>
        <w:lastRenderedPageBreak/>
        <w:t>Table 9-6</w:t>
      </w:r>
      <w:r w:rsidR="008D48E1" w:rsidRPr="00184DFD">
        <w:t xml:space="preserve">: Program Annual Peak Day Load Impacts for Medium SDG&amp;E CPP Customers </w:t>
      </w:r>
      <w:r w:rsidR="008D48E1" w:rsidRPr="00184DFD">
        <w:br/>
        <w:t>(Hourly Average Reduction in MW Over Event Day Period</w:t>
      </w:r>
      <w:r w:rsidR="00497509">
        <w:t xml:space="preserve"> </w:t>
      </w:r>
      <w:r w:rsidR="008D48E1" w:rsidRPr="00184DFD">
        <w:t>11 AM to 6 PM)</w:t>
      </w:r>
    </w:p>
    <w:tbl>
      <w:tblPr>
        <w:tblW w:w="5073" w:type="pct"/>
        <w:tblLook w:val="04A0" w:firstRow="1" w:lastRow="0" w:firstColumn="1" w:lastColumn="0" w:noHBand="0" w:noVBand="1"/>
      </w:tblPr>
      <w:tblGrid>
        <w:gridCol w:w="1235"/>
        <w:gridCol w:w="816"/>
        <w:gridCol w:w="1117"/>
        <w:gridCol w:w="1336"/>
        <w:gridCol w:w="1336"/>
        <w:gridCol w:w="1336"/>
        <w:gridCol w:w="1175"/>
        <w:gridCol w:w="1233"/>
      </w:tblGrid>
      <w:tr w:rsidR="00FD4F5B" w:rsidRPr="00FD4F5B" w:rsidTr="00FD4F5B">
        <w:trPr>
          <w:trHeight w:val="900"/>
        </w:trPr>
        <w:tc>
          <w:tcPr>
            <w:tcW w:w="644" w:type="pct"/>
            <w:vMerge w:val="restart"/>
            <w:tcBorders>
              <w:top w:val="single" w:sz="4" w:space="0" w:color="auto"/>
              <w:left w:val="single" w:sz="4" w:space="0" w:color="auto"/>
              <w:bottom w:val="single" w:sz="4" w:space="0" w:color="FFFFFF"/>
              <w:right w:val="single" w:sz="4" w:space="0" w:color="FFFFFF"/>
            </w:tcBorders>
            <w:shd w:val="clear" w:color="000000" w:fill="1F497D"/>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b/>
                <w:color w:val="FFFFFF"/>
                <w:sz w:val="18"/>
                <w:szCs w:val="18"/>
              </w:rPr>
            </w:pPr>
            <w:r w:rsidRPr="00FD4F5B">
              <w:rPr>
                <w:rFonts w:ascii="Arial" w:eastAsia="Times New Roman" w:hAnsi="Arial" w:cs="Arial"/>
                <w:b/>
                <w:color w:val="FFFFFF"/>
                <w:sz w:val="18"/>
                <w:szCs w:val="18"/>
              </w:rPr>
              <w:t>Weather Year</w:t>
            </w:r>
          </w:p>
        </w:tc>
        <w:tc>
          <w:tcPr>
            <w:tcW w:w="425" w:type="pct"/>
            <w:vMerge w:val="restart"/>
            <w:tcBorders>
              <w:top w:val="single" w:sz="4" w:space="0" w:color="auto"/>
              <w:left w:val="single" w:sz="4" w:space="0" w:color="FFFFFF"/>
              <w:bottom w:val="single" w:sz="4" w:space="0" w:color="FFFFFF"/>
              <w:right w:val="single" w:sz="4" w:space="0" w:color="FFFFFF"/>
            </w:tcBorders>
            <w:shd w:val="clear" w:color="000000" w:fill="1F497D"/>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b/>
                <w:color w:val="FFFFFF"/>
                <w:sz w:val="18"/>
                <w:szCs w:val="18"/>
              </w:rPr>
            </w:pPr>
            <w:r w:rsidRPr="00FD4F5B">
              <w:rPr>
                <w:rFonts w:ascii="Arial" w:eastAsia="Times New Roman" w:hAnsi="Arial" w:cs="Arial"/>
                <w:b/>
                <w:color w:val="FFFFFF"/>
                <w:sz w:val="18"/>
                <w:szCs w:val="18"/>
              </w:rPr>
              <w:t>Year</w:t>
            </w:r>
          </w:p>
        </w:tc>
        <w:tc>
          <w:tcPr>
            <w:tcW w:w="583" w:type="pct"/>
            <w:vMerge w:val="restart"/>
            <w:tcBorders>
              <w:top w:val="single" w:sz="4" w:space="0" w:color="auto"/>
              <w:left w:val="single" w:sz="4" w:space="0" w:color="FFFFFF"/>
              <w:bottom w:val="single" w:sz="4" w:space="0" w:color="FFFFFF"/>
              <w:right w:val="single" w:sz="4" w:space="0" w:color="FFFFFF"/>
            </w:tcBorders>
            <w:shd w:val="clear" w:color="000000" w:fill="1F497D"/>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b/>
                <w:color w:val="FFFFFF"/>
                <w:sz w:val="18"/>
                <w:szCs w:val="18"/>
              </w:rPr>
            </w:pPr>
            <w:r w:rsidRPr="00FD4F5B">
              <w:rPr>
                <w:rFonts w:ascii="Arial" w:eastAsia="Times New Roman" w:hAnsi="Arial" w:cs="Arial"/>
                <w:b/>
                <w:color w:val="FFFFFF"/>
                <w:sz w:val="18"/>
                <w:szCs w:val="18"/>
              </w:rPr>
              <w:t>Enrolled Accts (Forecast)</w:t>
            </w:r>
          </w:p>
        </w:tc>
        <w:tc>
          <w:tcPr>
            <w:tcW w:w="697" w:type="pct"/>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b/>
                <w:color w:val="FFFFFF"/>
                <w:sz w:val="18"/>
                <w:szCs w:val="18"/>
              </w:rPr>
            </w:pPr>
            <w:r w:rsidRPr="00FD4F5B">
              <w:rPr>
                <w:rFonts w:ascii="Arial" w:eastAsia="Times New Roman" w:hAnsi="Arial" w:cs="Arial"/>
                <w:b/>
                <w:color w:val="FFFFFF"/>
                <w:sz w:val="18"/>
                <w:szCs w:val="18"/>
              </w:rPr>
              <w:t>Avg. Reference Load</w:t>
            </w:r>
          </w:p>
        </w:tc>
        <w:tc>
          <w:tcPr>
            <w:tcW w:w="697" w:type="pct"/>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b/>
                <w:color w:val="FFFFFF"/>
                <w:sz w:val="18"/>
                <w:szCs w:val="18"/>
              </w:rPr>
            </w:pPr>
            <w:r w:rsidRPr="00FD4F5B">
              <w:rPr>
                <w:rFonts w:ascii="Arial" w:eastAsia="Times New Roman" w:hAnsi="Arial" w:cs="Arial"/>
                <w:b/>
                <w:color w:val="FFFFFF"/>
                <w:sz w:val="18"/>
                <w:szCs w:val="18"/>
              </w:rPr>
              <w:t>Avg. Estimated Load w DR</w:t>
            </w:r>
          </w:p>
        </w:tc>
        <w:tc>
          <w:tcPr>
            <w:tcW w:w="697" w:type="pct"/>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b/>
                <w:color w:val="FFFFFF"/>
                <w:sz w:val="18"/>
                <w:szCs w:val="18"/>
              </w:rPr>
            </w:pPr>
            <w:r w:rsidRPr="00FD4F5B">
              <w:rPr>
                <w:rFonts w:ascii="Arial" w:eastAsia="Times New Roman" w:hAnsi="Arial" w:cs="Arial"/>
                <w:b/>
                <w:color w:val="FFFFFF"/>
                <w:sz w:val="18"/>
                <w:szCs w:val="18"/>
              </w:rPr>
              <w:t>Avg. Load impact</w:t>
            </w:r>
          </w:p>
        </w:tc>
        <w:tc>
          <w:tcPr>
            <w:tcW w:w="613" w:type="pct"/>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b/>
                <w:color w:val="FFFFFF"/>
                <w:sz w:val="18"/>
                <w:szCs w:val="18"/>
              </w:rPr>
            </w:pPr>
            <w:r w:rsidRPr="00FD4F5B">
              <w:rPr>
                <w:rFonts w:ascii="Arial" w:eastAsia="Times New Roman" w:hAnsi="Arial" w:cs="Arial"/>
                <w:b/>
                <w:color w:val="FFFFFF"/>
                <w:sz w:val="18"/>
                <w:szCs w:val="18"/>
              </w:rPr>
              <w:t>% Load Reduction</w:t>
            </w:r>
          </w:p>
        </w:tc>
        <w:tc>
          <w:tcPr>
            <w:tcW w:w="643" w:type="pct"/>
            <w:tcBorders>
              <w:top w:val="single" w:sz="4" w:space="0" w:color="auto"/>
              <w:left w:val="nil"/>
              <w:bottom w:val="single" w:sz="4" w:space="0" w:color="FFFFFF"/>
              <w:right w:val="single" w:sz="4" w:space="0" w:color="auto"/>
            </w:tcBorders>
            <w:shd w:val="clear" w:color="000000" w:fill="1F497D"/>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b/>
                <w:color w:val="FFFFFF"/>
                <w:sz w:val="18"/>
                <w:szCs w:val="18"/>
              </w:rPr>
            </w:pPr>
            <w:r w:rsidRPr="00FD4F5B">
              <w:rPr>
                <w:rFonts w:ascii="Arial" w:eastAsia="Times New Roman" w:hAnsi="Arial" w:cs="Arial"/>
                <w:b/>
                <w:color w:val="FFFFFF"/>
                <w:sz w:val="18"/>
                <w:szCs w:val="18"/>
              </w:rPr>
              <w:t>Weighted Temp</w:t>
            </w:r>
          </w:p>
        </w:tc>
      </w:tr>
      <w:tr w:rsidR="00FD4F5B" w:rsidRPr="00FD4F5B" w:rsidTr="00FD4F5B">
        <w:trPr>
          <w:trHeight w:val="450"/>
        </w:trPr>
        <w:tc>
          <w:tcPr>
            <w:tcW w:w="644" w:type="pct"/>
            <w:vMerge/>
            <w:tcBorders>
              <w:top w:val="single" w:sz="4" w:space="0" w:color="auto"/>
              <w:left w:val="single" w:sz="4" w:space="0" w:color="auto"/>
              <w:bottom w:val="single" w:sz="4" w:space="0" w:color="FFFFFF"/>
              <w:right w:val="single" w:sz="4" w:space="0" w:color="FFFFFF"/>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b/>
                <w:color w:val="FFFFFF"/>
                <w:sz w:val="18"/>
                <w:szCs w:val="18"/>
              </w:rPr>
            </w:pPr>
          </w:p>
        </w:tc>
        <w:tc>
          <w:tcPr>
            <w:tcW w:w="425" w:type="pct"/>
            <w:vMerge/>
            <w:tcBorders>
              <w:top w:val="single" w:sz="4" w:space="0" w:color="auto"/>
              <w:left w:val="single" w:sz="4" w:space="0" w:color="FFFFFF"/>
              <w:bottom w:val="single" w:sz="4" w:space="0" w:color="FFFFFF"/>
              <w:right w:val="single" w:sz="4" w:space="0" w:color="FFFFFF"/>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b/>
                <w:color w:val="FFFFFF"/>
                <w:sz w:val="18"/>
                <w:szCs w:val="18"/>
              </w:rPr>
            </w:pPr>
          </w:p>
        </w:tc>
        <w:tc>
          <w:tcPr>
            <w:tcW w:w="583" w:type="pct"/>
            <w:vMerge/>
            <w:tcBorders>
              <w:top w:val="single" w:sz="4" w:space="0" w:color="auto"/>
              <w:left w:val="single" w:sz="4" w:space="0" w:color="FFFFFF"/>
              <w:bottom w:val="single" w:sz="4" w:space="0" w:color="FFFFFF"/>
              <w:right w:val="single" w:sz="4" w:space="0" w:color="FFFFFF"/>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b/>
                <w:color w:val="FFFFFF"/>
                <w:sz w:val="18"/>
                <w:szCs w:val="18"/>
              </w:rPr>
            </w:pPr>
          </w:p>
        </w:tc>
        <w:tc>
          <w:tcPr>
            <w:tcW w:w="697" w:type="pct"/>
            <w:tcBorders>
              <w:top w:val="nil"/>
              <w:left w:val="nil"/>
              <w:bottom w:val="nil"/>
              <w:right w:val="single" w:sz="4" w:space="0" w:color="FFFFFF"/>
            </w:tcBorders>
            <w:shd w:val="clear" w:color="000000" w:fill="1F497D"/>
            <w:tcMar>
              <w:left w:w="43" w:type="dxa"/>
              <w:right w:w="43" w:type="dxa"/>
            </w:tcMar>
            <w:vAlign w:val="center"/>
            <w:hideMark/>
          </w:tcPr>
          <w:p w:rsidR="00FD4F5B" w:rsidRDefault="00FD4F5B" w:rsidP="00FD4F5B">
            <w:pPr>
              <w:spacing w:after="0" w:line="240" w:lineRule="auto"/>
              <w:jc w:val="center"/>
              <w:rPr>
                <w:rFonts w:ascii="Arial" w:eastAsia="Times New Roman" w:hAnsi="Arial" w:cs="Arial"/>
                <w:b/>
                <w:bCs/>
                <w:color w:val="FFFFFF"/>
                <w:sz w:val="18"/>
                <w:szCs w:val="18"/>
              </w:rPr>
            </w:pPr>
            <w:r w:rsidRPr="00FD4F5B">
              <w:rPr>
                <w:rFonts w:ascii="Arial" w:eastAsia="Times New Roman" w:hAnsi="Arial" w:cs="Arial"/>
                <w:b/>
                <w:bCs/>
                <w:color w:val="FFFFFF"/>
                <w:sz w:val="18"/>
                <w:szCs w:val="18"/>
              </w:rPr>
              <w:t>MW</w:t>
            </w:r>
          </w:p>
          <w:p w:rsidR="00FD4F5B" w:rsidRPr="00FD4F5B" w:rsidRDefault="00FD4F5B" w:rsidP="00FD4F5B">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 xml:space="preserve">11 am </w:t>
            </w:r>
            <w:r>
              <w:rPr>
                <w:rFonts w:ascii="Arial" w:eastAsia="Times New Roman" w:hAnsi="Arial" w:cs="Arial"/>
                <w:b/>
                <w:bCs/>
                <w:color w:val="FFFFFF"/>
                <w:sz w:val="18"/>
                <w:szCs w:val="18"/>
              </w:rPr>
              <w:softHyphen/>
              <w:t>̶ 6 pm</w:t>
            </w:r>
          </w:p>
        </w:tc>
        <w:tc>
          <w:tcPr>
            <w:tcW w:w="697" w:type="pct"/>
            <w:tcBorders>
              <w:top w:val="nil"/>
              <w:left w:val="nil"/>
              <w:bottom w:val="nil"/>
              <w:right w:val="single" w:sz="4" w:space="0" w:color="FFFFFF"/>
            </w:tcBorders>
            <w:shd w:val="clear" w:color="000000" w:fill="1F497D"/>
            <w:tcMar>
              <w:left w:w="43" w:type="dxa"/>
              <w:right w:w="43" w:type="dxa"/>
            </w:tcMar>
            <w:vAlign w:val="center"/>
            <w:hideMark/>
          </w:tcPr>
          <w:p w:rsidR="00FD4F5B" w:rsidRDefault="00FD4F5B" w:rsidP="00FD4F5B">
            <w:pPr>
              <w:spacing w:after="0" w:line="240" w:lineRule="auto"/>
              <w:jc w:val="center"/>
              <w:rPr>
                <w:rFonts w:ascii="Arial" w:eastAsia="Times New Roman" w:hAnsi="Arial" w:cs="Arial"/>
                <w:b/>
                <w:bCs/>
                <w:color w:val="FFFFFF"/>
                <w:sz w:val="18"/>
                <w:szCs w:val="18"/>
              </w:rPr>
            </w:pPr>
            <w:r w:rsidRPr="00FD4F5B">
              <w:rPr>
                <w:rFonts w:ascii="Arial" w:eastAsia="Times New Roman" w:hAnsi="Arial" w:cs="Arial"/>
                <w:b/>
                <w:bCs/>
                <w:color w:val="FFFFFF"/>
                <w:sz w:val="18"/>
                <w:szCs w:val="18"/>
              </w:rPr>
              <w:t>MW</w:t>
            </w:r>
          </w:p>
          <w:p w:rsidR="00FD4F5B" w:rsidRPr="00E34D05" w:rsidRDefault="00FD4F5B" w:rsidP="00FD4F5B">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 xml:space="preserve">11 am </w:t>
            </w:r>
            <w:r>
              <w:rPr>
                <w:rFonts w:ascii="Arial" w:eastAsia="Times New Roman" w:hAnsi="Arial" w:cs="Arial"/>
                <w:b/>
                <w:bCs/>
                <w:color w:val="FFFFFF"/>
                <w:sz w:val="18"/>
                <w:szCs w:val="18"/>
              </w:rPr>
              <w:softHyphen/>
              <w:t>̶ 6 pm</w:t>
            </w:r>
          </w:p>
        </w:tc>
        <w:tc>
          <w:tcPr>
            <w:tcW w:w="697" w:type="pct"/>
            <w:tcBorders>
              <w:top w:val="nil"/>
              <w:left w:val="nil"/>
              <w:bottom w:val="nil"/>
              <w:right w:val="single" w:sz="4" w:space="0" w:color="FFFFFF"/>
            </w:tcBorders>
            <w:shd w:val="clear" w:color="000000" w:fill="1F497D"/>
            <w:tcMar>
              <w:left w:w="43" w:type="dxa"/>
              <w:right w:w="43" w:type="dxa"/>
            </w:tcMar>
            <w:vAlign w:val="center"/>
            <w:hideMark/>
          </w:tcPr>
          <w:p w:rsidR="00FD4F5B" w:rsidRDefault="00FD4F5B" w:rsidP="00FD4F5B">
            <w:pPr>
              <w:spacing w:after="0" w:line="240" w:lineRule="auto"/>
              <w:jc w:val="center"/>
              <w:rPr>
                <w:rFonts w:ascii="Arial" w:eastAsia="Times New Roman" w:hAnsi="Arial" w:cs="Arial"/>
                <w:b/>
                <w:bCs/>
                <w:color w:val="FFFFFF"/>
                <w:sz w:val="18"/>
                <w:szCs w:val="18"/>
              </w:rPr>
            </w:pPr>
            <w:r w:rsidRPr="00FD4F5B">
              <w:rPr>
                <w:rFonts w:ascii="Arial" w:eastAsia="Times New Roman" w:hAnsi="Arial" w:cs="Arial"/>
                <w:b/>
                <w:bCs/>
                <w:color w:val="FFFFFF"/>
                <w:sz w:val="18"/>
                <w:szCs w:val="18"/>
              </w:rPr>
              <w:t>MW</w:t>
            </w:r>
          </w:p>
          <w:p w:rsidR="00FD4F5B" w:rsidRPr="00E34D05" w:rsidRDefault="00FD4F5B" w:rsidP="00FD4F5B">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 xml:space="preserve">11 am </w:t>
            </w:r>
            <w:r>
              <w:rPr>
                <w:rFonts w:ascii="Arial" w:eastAsia="Times New Roman" w:hAnsi="Arial" w:cs="Arial"/>
                <w:b/>
                <w:bCs/>
                <w:color w:val="FFFFFF"/>
                <w:sz w:val="18"/>
                <w:szCs w:val="18"/>
              </w:rPr>
              <w:softHyphen/>
              <w:t>̶ 6 pm</w:t>
            </w:r>
          </w:p>
        </w:tc>
        <w:tc>
          <w:tcPr>
            <w:tcW w:w="613" w:type="pct"/>
            <w:tcBorders>
              <w:top w:val="nil"/>
              <w:left w:val="nil"/>
              <w:bottom w:val="nil"/>
              <w:right w:val="single" w:sz="4" w:space="0" w:color="FFFFFF"/>
            </w:tcBorders>
            <w:shd w:val="clear" w:color="000000" w:fill="1F497D"/>
            <w:tcMar>
              <w:left w:w="43" w:type="dxa"/>
              <w:right w:w="43" w:type="dxa"/>
            </w:tcMar>
            <w:vAlign w:val="center"/>
            <w:hideMark/>
          </w:tcPr>
          <w:p w:rsidR="00FD4F5B" w:rsidRDefault="00FD4F5B" w:rsidP="00FD4F5B">
            <w:pPr>
              <w:spacing w:after="0" w:line="240" w:lineRule="auto"/>
              <w:jc w:val="center"/>
              <w:rPr>
                <w:rFonts w:ascii="Arial" w:eastAsia="Times New Roman" w:hAnsi="Arial" w:cs="Arial"/>
                <w:b/>
                <w:bCs/>
                <w:color w:val="FFFFFF"/>
                <w:sz w:val="18"/>
                <w:szCs w:val="18"/>
              </w:rPr>
            </w:pPr>
            <w:r w:rsidRPr="00FD4F5B">
              <w:rPr>
                <w:rFonts w:ascii="Arial" w:eastAsia="Times New Roman" w:hAnsi="Arial" w:cs="Arial"/>
                <w:b/>
                <w:bCs/>
                <w:color w:val="FFFFFF"/>
                <w:sz w:val="18"/>
                <w:szCs w:val="18"/>
              </w:rPr>
              <w:t>MW</w:t>
            </w:r>
          </w:p>
          <w:p w:rsidR="00FD4F5B" w:rsidRPr="00E34D05" w:rsidRDefault="00FD4F5B" w:rsidP="00FD4F5B">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 xml:space="preserve">11 am </w:t>
            </w:r>
            <w:r>
              <w:rPr>
                <w:rFonts w:ascii="Arial" w:eastAsia="Times New Roman" w:hAnsi="Arial" w:cs="Arial"/>
                <w:b/>
                <w:bCs/>
                <w:color w:val="FFFFFF"/>
                <w:sz w:val="18"/>
                <w:szCs w:val="18"/>
              </w:rPr>
              <w:softHyphen/>
              <w:t>̶ 6 pm</w:t>
            </w:r>
          </w:p>
        </w:tc>
        <w:tc>
          <w:tcPr>
            <w:tcW w:w="643" w:type="pct"/>
            <w:tcBorders>
              <w:top w:val="nil"/>
              <w:left w:val="nil"/>
              <w:bottom w:val="nil"/>
              <w:right w:val="single" w:sz="4" w:space="0" w:color="auto"/>
            </w:tcBorders>
            <w:shd w:val="clear" w:color="000000" w:fill="1F497D"/>
            <w:tcMar>
              <w:left w:w="43" w:type="dxa"/>
              <w:right w:w="43" w:type="dxa"/>
            </w:tcMar>
            <w:vAlign w:val="center"/>
            <w:hideMark/>
          </w:tcPr>
          <w:p w:rsidR="00FD4F5B" w:rsidRDefault="00FD4F5B" w:rsidP="00FD4F5B">
            <w:pPr>
              <w:spacing w:after="0" w:line="240" w:lineRule="auto"/>
              <w:jc w:val="center"/>
              <w:rPr>
                <w:rFonts w:ascii="Arial" w:eastAsia="Times New Roman" w:hAnsi="Arial" w:cs="Arial"/>
                <w:b/>
                <w:bCs/>
                <w:color w:val="FFFFFF"/>
                <w:sz w:val="18"/>
                <w:szCs w:val="18"/>
              </w:rPr>
            </w:pPr>
            <w:r w:rsidRPr="00FD4F5B">
              <w:rPr>
                <w:rFonts w:ascii="Arial" w:eastAsia="Times New Roman" w:hAnsi="Arial" w:cs="Arial"/>
                <w:b/>
                <w:bCs/>
                <w:color w:val="FFFFFF"/>
                <w:sz w:val="18"/>
                <w:szCs w:val="18"/>
              </w:rPr>
              <w:t>MW</w:t>
            </w:r>
          </w:p>
          <w:p w:rsidR="00FD4F5B" w:rsidRPr="00E34D05" w:rsidRDefault="00FD4F5B" w:rsidP="00FD4F5B">
            <w:pPr>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 xml:space="preserve">11 am </w:t>
            </w:r>
            <w:r>
              <w:rPr>
                <w:rFonts w:ascii="Arial" w:eastAsia="Times New Roman" w:hAnsi="Arial" w:cs="Arial"/>
                <w:b/>
                <w:bCs/>
                <w:color w:val="FFFFFF"/>
                <w:sz w:val="18"/>
                <w:szCs w:val="18"/>
              </w:rPr>
              <w:softHyphen/>
              <w:t>̶ 6 pm</w:t>
            </w:r>
          </w:p>
        </w:tc>
      </w:tr>
      <w:tr w:rsidR="00FD4F5B" w:rsidRPr="00FD4F5B" w:rsidTr="00FD4F5B">
        <w:trPr>
          <w:trHeight w:val="360"/>
        </w:trPr>
        <w:tc>
          <w:tcPr>
            <w:tcW w:w="644" w:type="pct"/>
            <w:vMerge w:val="restart"/>
            <w:tcBorders>
              <w:top w:val="nil"/>
              <w:left w:val="single" w:sz="4" w:space="0" w:color="auto"/>
              <w:bottom w:val="nil"/>
              <w:right w:val="single" w:sz="4" w:space="0" w:color="000000"/>
            </w:tcBorders>
            <w:shd w:val="clear" w:color="auto" w:fill="auto"/>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1-in-10 August System Peak Day</w:t>
            </w:r>
          </w:p>
        </w:tc>
        <w:tc>
          <w:tcPr>
            <w:tcW w:w="425" w:type="pct"/>
            <w:tcBorders>
              <w:top w:val="single" w:sz="4" w:space="0" w:color="000000"/>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2013</w:t>
            </w:r>
          </w:p>
        </w:tc>
        <w:tc>
          <w:tcPr>
            <w:tcW w:w="583" w:type="pct"/>
            <w:tcBorders>
              <w:top w:val="single" w:sz="4" w:space="0" w:color="000000"/>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w:t>
            </w:r>
          </w:p>
        </w:tc>
        <w:tc>
          <w:tcPr>
            <w:tcW w:w="697" w:type="pct"/>
            <w:tcBorders>
              <w:top w:val="single" w:sz="4" w:space="0" w:color="000000"/>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w:t>
            </w:r>
          </w:p>
        </w:tc>
        <w:tc>
          <w:tcPr>
            <w:tcW w:w="697" w:type="pct"/>
            <w:tcBorders>
              <w:top w:val="single" w:sz="4" w:space="0" w:color="000000"/>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w:t>
            </w:r>
          </w:p>
        </w:tc>
        <w:tc>
          <w:tcPr>
            <w:tcW w:w="697" w:type="pct"/>
            <w:tcBorders>
              <w:top w:val="single" w:sz="4" w:space="0" w:color="000000"/>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w:t>
            </w:r>
          </w:p>
        </w:tc>
        <w:tc>
          <w:tcPr>
            <w:tcW w:w="613" w:type="pct"/>
            <w:tcBorders>
              <w:top w:val="single" w:sz="4" w:space="0" w:color="000000"/>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w:t>
            </w:r>
          </w:p>
        </w:tc>
        <w:tc>
          <w:tcPr>
            <w:tcW w:w="643" w:type="pct"/>
            <w:tcBorders>
              <w:top w:val="single" w:sz="4" w:space="0" w:color="000000"/>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w:t>
            </w:r>
          </w:p>
        </w:tc>
      </w:tr>
      <w:tr w:rsidR="00FD4F5B" w:rsidRPr="00FD4F5B" w:rsidTr="00FD4F5B">
        <w:trPr>
          <w:trHeight w:val="360"/>
        </w:trPr>
        <w:tc>
          <w:tcPr>
            <w:tcW w:w="644" w:type="pct"/>
            <w:vMerge/>
            <w:tcBorders>
              <w:top w:val="nil"/>
              <w:left w:val="single" w:sz="4" w:space="0" w:color="auto"/>
              <w:bottom w:val="nil"/>
              <w:right w:val="single" w:sz="4" w:space="0" w:color="000000"/>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2014</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8,707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478.5</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460.3</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18.2</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3.8%</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84.4</w:t>
            </w:r>
          </w:p>
        </w:tc>
      </w:tr>
      <w:tr w:rsidR="00FD4F5B" w:rsidRPr="00FD4F5B" w:rsidTr="00FD4F5B">
        <w:trPr>
          <w:trHeight w:val="360"/>
        </w:trPr>
        <w:tc>
          <w:tcPr>
            <w:tcW w:w="644" w:type="pct"/>
            <w:vMerge/>
            <w:tcBorders>
              <w:top w:val="nil"/>
              <w:left w:val="single" w:sz="4" w:space="0" w:color="auto"/>
              <w:bottom w:val="nil"/>
              <w:right w:val="single" w:sz="4" w:space="0" w:color="000000"/>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2015</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7,119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388.9</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371.4</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17.4</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4.5%</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84.4</w:t>
            </w:r>
          </w:p>
        </w:tc>
      </w:tr>
      <w:tr w:rsidR="00FD4F5B" w:rsidRPr="00FD4F5B" w:rsidTr="00FD4F5B">
        <w:trPr>
          <w:trHeight w:val="360"/>
        </w:trPr>
        <w:tc>
          <w:tcPr>
            <w:tcW w:w="644" w:type="pct"/>
            <w:vMerge/>
            <w:tcBorders>
              <w:top w:val="nil"/>
              <w:left w:val="single" w:sz="4" w:space="0" w:color="auto"/>
              <w:bottom w:val="nil"/>
              <w:right w:val="single" w:sz="4" w:space="0" w:color="000000"/>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2016</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6,775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370.1</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351.4</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18.7</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5.0%</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84.4</w:t>
            </w:r>
          </w:p>
        </w:tc>
      </w:tr>
      <w:tr w:rsidR="00FD4F5B" w:rsidRPr="00FD4F5B" w:rsidTr="00FD4F5B">
        <w:trPr>
          <w:trHeight w:val="360"/>
        </w:trPr>
        <w:tc>
          <w:tcPr>
            <w:tcW w:w="644" w:type="pct"/>
            <w:vMerge/>
            <w:tcBorders>
              <w:top w:val="nil"/>
              <w:left w:val="single" w:sz="4" w:space="0" w:color="auto"/>
              <w:bottom w:val="nil"/>
              <w:right w:val="single" w:sz="4" w:space="0" w:color="000000"/>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2017</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6,861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374.8</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355.8</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18.9</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5.0%</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84.4</w:t>
            </w:r>
          </w:p>
        </w:tc>
      </w:tr>
      <w:tr w:rsidR="00FD4F5B" w:rsidRPr="00FD4F5B" w:rsidTr="00FD4F5B">
        <w:trPr>
          <w:trHeight w:val="360"/>
        </w:trPr>
        <w:tc>
          <w:tcPr>
            <w:tcW w:w="644" w:type="pct"/>
            <w:vMerge/>
            <w:tcBorders>
              <w:top w:val="nil"/>
              <w:left w:val="single" w:sz="4" w:space="0" w:color="auto"/>
              <w:bottom w:val="nil"/>
              <w:right w:val="single" w:sz="4" w:space="0" w:color="000000"/>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2018</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6,955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379.9</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360.8</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19.2</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5.0%</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84.4</w:t>
            </w:r>
          </w:p>
        </w:tc>
      </w:tr>
      <w:tr w:rsidR="00FD4F5B" w:rsidRPr="00FD4F5B" w:rsidTr="00FD4F5B">
        <w:trPr>
          <w:trHeight w:val="360"/>
        </w:trPr>
        <w:tc>
          <w:tcPr>
            <w:tcW w:w="644" w:type="pct"/>
            <w:vMerge/>
            <w:tcBorders>
              <w:top w:val="nil"/>
              <w:left w:val="single" w:sz="4" w:space="0" w:color="auto"/>
              <w:bottom w:val="nil"/>
              <w:right w:val="single" w:sz="4" w:space="0" w:color="000000"/>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2019</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7,059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385.6</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366.1</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19.5</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5.0%</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84.4</w:t>
            </w:r>
          </w:p>
        </w:tc>
      </w:tr>
      <w:tr w:rsidR="00FD4F5B" w:rsidRPr="00FD4F5B" w:rsidTr="00FD4F5B">
        <w:trPr>
          <w:trHeight w:val="360"/>
        </w:trPr>
        <w:tc>
          <w:tcPr>
            <w:tcW w:w="644" w:type="pct"/>
            <w:vMerge/>
            <w:tcBorders>
              <w:top w:val="nil"/>
              <w:left w:val="single" w:sz="4" w:space="0" w:color="auto"/>
              <w:bottom w:val="nil"/>
              <w:right w:val="single" w:sz="4" w:space="0" w:color="000000"/>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2020</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7,157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390.9</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371.2</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19.7</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5.0%</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84.4</w:t>
            </w:r>
          </w:p>
        </w:tc>
      </w:tr>
      <w:tr w:rsidR="00FD4F5B" w:rsidRPr="00FD4F5B" w:rsidTr="00FD4F5B">
        <w:trPr>
          <w:trHeight w:val="360"/>
        </w:trPr>
        <w:tc>
          <w:tcPr>
            <w:tcW w:w="644" w:type="pct"/>
            <w:vMerge/>
            <w:tcBorders>
              <w:top w:val="nil"/>
              <w:left w:val="single" w:sz="4" w:space="0" w:color="auto"/>
              <w:bottom w:val="nil"/>
              <w:right w:val="single" w:sz="4" w:space="0" w:color="000000"/>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2021</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7,255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396.3</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376.3</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20.0</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5.0%</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84.4</w:t>
            </w:r>
          </w:p>
        </w:tc>
      </w:tr>
      <w:tr w:rsidR="00FD4F5B" w:rsidRPr="00FD4F5B" w:rsidTr="00FD4F5B">
        <w:trPr>
          <w:trHeight w:val="360"/>
        </w:trPr>
        <w:tc>
          <w:tcPr>
            <w:tcW w:w="644" w:type="pct"/>
            <w:vMerge/>
            <w:tcBorders>
              <w:top w:val="nil"/>
              <w:left w:val="single" w:sz="4" w:space="0" w:color="auto"/>
              <w:bottom w:val="nil"/>
              <w:right w:val="single" w:sz="4" w:space="0" w:color="000000"/>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2022</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7,355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401.7</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381.5</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20.3</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5.0%</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84.4</w:t>
            </w:r>
          </w:p>
        </w:tc>
      </w:tr>
      <w:tr w:rsidR="00FD4F5B" w:rsidRPr="00FD4F5B" w:rsidTr="00FD4F5B">
        <w:trPr>
          <w:trHeight w:val="360"/>
        </w:trPr>
        <w:tc>
          <w:tcPr>
            <w:tcW w:w="644" w:type="pct"/>
            <w:vMerge/>
            <w:tcBorders>
              <w:top w:val="nil"/>
              <w:left w:val="single" w:sz="4" w:space="0" w:color="auto"/>
              <w:bottom w:val="nil"/>
              <w:right w:val="single" w:sz="4" w:space="0" w:color="000000"/>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2023</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7,456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407.3</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386.7</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20.5</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5.0%</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84.4</w:t>
            </w:r>
          </w:p>
        </w:tc>
      </w:tr>
      <w:tr w:rsidR="00FD4F5B" w:rsidRPr="00FD4F5B" w:rsidTr="00FD4F5B">
        <w:trPr>
          <w:trHeight w:val="360"/>
        </w:trPr>
        <w:tc>
          <w:tcPr>
            <w:tcW w:w="644" w:type="pct"/>
            <w:vMerge w:val="restart"/>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1-in-2 August System Peak Day</w:t>
            </w: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2013</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w:t>
            </w:r>
          </w:p>
        </w:tc>
        <w:tc>
          <w:tcPr>
            <w:tcW w:w="64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w:t>
            </w:r>
          </w:p>
        </w:tc>
      </w:tr>
      <w:tr w:rsidR="00FD4F5B" w:rsidRPr="00FD4F5B" w:rsidTr="00FD4F5B">
        <w:trPr>
          <w:trHeight w:val="360"/>
        </w:trPr>
        <w:tc>
          <w:tcPr>
            <w:tcW w:w="644"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2014</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8,707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460.5</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442.8</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17.6</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3.8%</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81.9</w:t>
            </w:r>
          </w:p>
        </w:tc>
      </w:tr>
      <w:tr w:rsidR="00FD4F5B" w:rsidRPr="00FD4F5B" w:rsidTr="00FD4F5B">
        <w:trPr>
          <w:trHeight w:val="360"/>
        </w:trPr>
        <w:tc>
          <w:tcPr>
            <w:tcW w:w="644"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2015</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7,119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374.3</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357.4</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16.9</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4.5%</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81.9</w:t>
            </w:r>
          </w:p>
        </w:tc>
      </w:tr>
      <w:tr w:rsidR="00FD4F5B" w:rsidRPr="00FD4F5B" w:rsidTr="00FD4F5B">
        <w:trPr>
          <w:trHeight w:val="360"/>
        </w:trPr>
        <w:tc>
          <w:tcPr>
            <w:tcW w:w="644"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2016</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6,775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356.3</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338.2</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18.1</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5.1%</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81.9</w:t>
            </w:r>
          </w:p>
        </w:tc>
      </w:tr>
      <w:tr w:rsidR="00FD4F5B" w:rsidRPr="00FD4F5B" w:rsidTr="00FD4F5B">
        <w:trPr>
          <w:trHeight w:val="360"/>
        </w:trPr>
        <w:tc>
          <w:tcPr>
            <w:tcW w:w="644"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2017</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6,861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360.8</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342.4</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18.3</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5.1%</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81.9</w:t>
            </w:r>
          </w:p>
        </w:tc>
      </w:tr>
      <w:tr w:rsidR="00FD4F5B" w:rsidRPr="00FD4F5B" w:rsidTr="00FD4F5B">
        <w:trPr>
          <w:trHeight w:val="360"/>
        </w:trPr>
        <w:tc>
          <w:tcPr>
            <w:tcW w:w="644"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2018</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6,955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365.7</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347.2</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18.6</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5.1%</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81.9</w:t>
            </w:r>
          </w:p>
        </w:tc>
      </w:tr>
      <w:tr w:rsidR="00FD4F5B" w:rsidRPr="00FD4F5B" w:rsidTr="00FD4F5B">
        <w:trPr>
          <w:trHeight w:val="360"/>
        </w:trPr>
        <w:tc>
          <w:tcPr>
            <w:tcW w:w="644"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2019</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7,059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371.2</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352.3</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18.8</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5.1%</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81.9</w:t>
            </w:r>
          </w:p>
        </w:tc>
      </w:tr>
      <w:tr w:rsidR="00FD4F5B" w:rsidRPr="00FD4F5B" w:rsidTr="00FD4F5B">
        <w:trPr>
          <w:trHeight w:val="360"/>
        </w:trPr>
        <w:tc>
          <w:tcPr>
            <w:tcW w:w="644"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2020</w:t>
            </w:r>
          </w:p>
        </w:tc>
        <w:tc>
          <w:tcPr>
            <w:tcW w:w="58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7,157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376.3</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357.2</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19.1</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5.1%</w:t>
            </w:r>
          </w:p>
        </w:tc>
        <w:tc>
          <w:tcPr>
            <w:tcW w:w="643" w:type="pct"/>
            <w:tcBorders>
              <w:top w:val="nil"/>
              <w:left w:val="nil"/>
              <w:bottom w:val="single" w:sz="4" w:space="0" w:color="000000"/>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81.9</w:t>
            </w:r>
          </w:p>
        </w:tc>
      </w:tr>
      <w:tr w:rsidR="00FD4F5B" w:rsidRPr="00FD4F5B" w:rsidTr="00FD4F5B">
        <w:trPr>
          <w:trHeight w:val="360"/>
        </w:trPr>
        <w:tc>
          <w:tcPr>
            <w:tcW w:w="644"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2021</w:t>
            </w:r>
          </w:p>
        </w:tc>
        <w:tc>
          <w:tcPr>
            <w:tcW w:w="583" w:type="pct"/>
            <w:tcBorders>
              <w:top w:val="nil"/>
              <w:left w:val="nil"/>
              <w:bottom w:val="nil"/>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7,255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381.5</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362.1</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19.4</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5.1%</w:t>
            </w:r>
          </w:p>
        </w:tc>
        <w:tc>
          <w:tcPr>
            <w:tcW w:w="643" w:type="pct"/>
            <w:tcBorders>
              <w:top w:val="nil"/>
              <w:left w:val="nil"/>
              <w:bottom w:val="nil"/>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81.9</w:t>
            </w:r>
          </w:p>
        </w:tc>
      </w:tr>
      <w:tr w:rsidR="00FD4F5B" w:rsidRPr="00FD4F5B" w:rsidTr="00FD4F5B">
        <w:trPr>
          <w:trHeight w:val="360"/>
        </w:trPr>
        <w:tc>
          <w:tcPr>
            <w:tcW w:w="644"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nil"/>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2022</w:t>
            </w:r>
          </w:p>
        </w:tc>
        <w:tc>
          <w:tcPr>
            <w:tcW w:w="583" w:type="pct"/>
            <w:tcBorders>
              <w:top w:val="single" w:sz="4" w:space="0" w:color="000000"/>
              <w:left w:val="single" w:sz="4" w:space="0" w:color="000000"/>
              <w:bottom w:val="nil"/>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7,355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386.7</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367.1</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19.6</w:t>
            </w:r>
          </w:p>
        </w:tc>
        <w:tc>
          <w:tcPr>
            <w:tcW w:w="613"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5.1%</w:t>
            </w:r>
          </w:p>
        </w:tc>
        <w:tc>
          <w:tcPr>
            <w:tcW w:w="643" w:type="pct"/>
            <w:tcBorders>
              <w:top w:val="single" w:sz="4" w:space="0" w:color="000000"/>
              <w:left w:val="nil"/>
              <w:bottom w:val="nil"/>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81.9</w:t>
            </w:r>
          </w:p>
        </w:tc>
      </w:tr>
      <w:tr w:rsidR="00FD4F5B" w:rsidRPr="00FD4F5B" w:rsidTr="00FD4F5B">
        <w:trPr>
          <w:trHeight w:val="360"/>
        </w:trPr>
        <w:tc>
          <w:tcPr>
            <w:tcW w:w="644" w:type="pct"/>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FD4F5B" w:rsidRPr="00FD4F5B" w:rsidRDefault="00FD4F5B" w:rsidP="00FD4F5B">
            <w:pPr>
              <w:spacing w:after="0" w:line="240" w:lineRule="auto"/>
              <w:rPr>
                <w:rFonts w:ascii="Arial" w:eastAsia="Times New Roman" w:hAnsi="Arial" w:cs="Arial"/>
                <w:color w:val="000000"/>
                <w:sz w:val="18"/>
                <w:szCs w:val="18"/>
              </w:rPr>
            </w:pPr>
          </w:p>
        </w:tc>
        <w:tc>
          <w:tcPr>
            <w:tcW w:w="425" w:type="pct"/>
            <w:tcBorders>
              <w:top w:val="nil"/>
              <w:left w:val="nil"/>
              <w:bottom w:val="single" w:sz="4" w:space="0" w:color="000000"/>
              <w:right w:val="nil"/>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2023</w:t>
            </w:r>
          </w:p>
        </w:tc>
        <w:tc>
          <w:tcPr>
            <w:tcW w:w="583" w:type="pct"/>
            <w:tcBorders>
              <w:top w:val="single" w:sz="4" w:space="0" w:color="auto"/>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 xml:space="preserve">7,456 </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392.1</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372.2</w:t>
            </w:r>
          </w:p>
        </w:tc>
        <w:tc>
          <w:tcPr>
            <w:tcW w:w="697" w:type="pct"/>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19.9</w:t>
            </w:r>
          </w:p>
        </w:tc>
        <w:tc>
          <w:tcPr>
            <w:tcW w:w="613" w:type="pct"/>
            <w:tcBorders>
              <w:top w:val="nil"/>
              <w:left w:val="nil"/>
              <w:bottom w:val="single" w:sz="4" w:space="0" w:color="000000"/>
              <w:right w:val="nil"/>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5.1%</w:t>
            </w:r>
          </w:p>
        </w:tc>
        <w:tc>
          <w:tcPr>
            <w:tcW w:w="643" w:type="pct"/>
            <w:tcBorders>
              <w:top w:val="single" w:sz="4" w:space="0" w:color="auto"/>
              <w:left w:val="single" w:sz="4" w:space="0" w:color="auto"/>
              <w:bottom w:val="single" w:sz="4" w:space="0" w:color="auto"/>
              <w:right w:val="single" w:sz="4" w:space="0" w:color="auto"/>
            </w:tcBorders>
            <w:shd w:val="clear" w:color="auto" w:fill="auto"/>
            <w:noWrap/>
            <w:tcMar>
              <w:left w:w="43" w:type="dxa"/>
              <w:right w:w="43" w:type="dxa"/>
            </w:tcMar>
            <w:vAlign w:val="center"/>
            <w:hideMark/>
          </w:tcPr>
          <w:p w:rsidR="00FD4F5B" w:rsidRPr="00FD4F5B" w:rsidRDefault="00FD4F5B" w:rsidP="00FD4F5B">
            <w:pPr>
              <w:spacing w:after="0" w:line="240" w:lineRule="auto"/>
              <w:jc w:val="center"/>
              <w:rPr>
                <w:rFonts w:ascii="Arial" w:eastAsia="Times New Roman" w:hAnsi="Arial" w:cs="Arial"/>
                <w:color w:val="000000"/>
                <w:sz w:val="18"/>
                <w:szCs w:val="18"/>
              </w:rPr>
            </w:pPr>
            <w:r w:rsidRPr="00FD4F5B">
              <w:rPr>
                <w:rFonts w:ascii="Arial" w:eastAsia="Times New Roman" w:hAnsi="Arial" w:cs="Arial"/>
                <w:color w:val="000000"/>
                <w:sz w:val="18"/>
                <w:szCs w:val="18"/>
              </w:rPr>
              <w:t>81.9</w:t>
            </w:r>
          </w:p>
        </w:tc>
      </w:tr>
    </w:tbl>
    <w:p w:rsidR="00E7185E" w:rsidRDefault="008D48E1" w:rsidP="00FD4F5B">
      <w:pPr>
        <w:pStyle w:val="BodyParaAfterTableFigure"/>
      </w:pPr>
      <w:r>
        <w:t>As discussed earlier, there is a noticeable drop in enrollment between 2014 and 2015, from 8,707 to 7,119 customers, which reflects some customers opting-out after testing default CPP during the bill protection period.  The drop in enrollment is not accompanied by a corresponding decrease in forecasted impacts.  In fact, the demand reductions under 1-in-2 weather conditions for 2015, 1</w:t>
      </w:r>
      <w:r w:rsidR="00FD4F5B">
        <w:t>7.6</w:t>
      </w:r>
      <w:r>
        <w:t> MW, are very similar to the 2014 forecast, 1</w:t>
      </w:r>
      <w:r w:rsidR="00FD4F5B">
        <w:t>6</w:t>
      </w:r>
      <w:r>
        <w:t xml:space="preserve">.9 MW.  The estimated impacts do not decrease substantially for </w:t>
      </w:r>
      <w:r w:rsidR="00F15A2F">
        <w:t>a simple reason</w:t>
      </w:r>
      <w:r>
        <w:t xml:space="preserve">.  </w:t>
      </w:r>
      <w:r w:rsidR="00F15A2F">
        <w:t>C</w:t>
      </w:r>
      <w:r>
        <w:t xml:space="preserve">ustomers that were not aware or did not fully understand the CPP rates are expected to opt-out.  Almost by definition, customers that are not aware or understand the rate do not reduce demand.  In other words, while enrollments decrease, the decrease is among customers that are not price responsive.  The more price-responsive customers are expected to </w:t>
      </w:r>
      <w:r>
        <w:lastRenderedPageBreak/>
        <w:t xml:space="preserve">remain on the rate and have a higher awareness of the CPP rate.  The forecasted demand reduction capability also increases in 2016, </w:t>
      </w:r>
      <w:r w:rsidR="00FD4F5B">
        <w:t>since customers who on the rate then are assumed to have higher awareness rate</w:t>
      </w:r>
      <w:r>
        <w:t>.</w:t>
      </w:r>
      <w:r w:rsidR="00F15A2F">
        <w:t xml:space="preserve">  This pattern is similar to what has happened with large customers defaulted onto CPP.   Overall enrollments have dropped, as customers who initially tried it opted out, but aggregate reductions have not decrease much and in some cases have increased.  </w:t>
      </w:r>
    </w:p>
    <w:p w:rsidR="00E7185E" w:rsidRDefault="00E7185E" w:rsidP="00E7185E">
      <w:pPr>
        <w:pStyle w:val="BodyParagraph"/>
      </w:pPr>
      <w:r w:rsidRPr="00862A0E">
        <w:t>Underlying the impact</w:t>
      </w:r>
      <w:r>
        <w:t xml:space="preserve"> estimate</w:t>
      </w:r>
      <w:r w:rsidRPr="00862A0E">
        <w:t>s</w:t>
      </w:r>
      <w:r>
        <w:t xml:space="preserve"> summarized above </w:t>
      </w:r>
      <w:r w:rsidRPr="00862A0E">
        <w:t xml:space="preserve">is a </w:t>
      </w:r>
      <w:r>
        <w:t>significant amoun</w:t>
      </w:r>
      <w:r w:rsidRPr="00862A0E">
        <w:t>t of uncertainty.</w:t>
      </w:r>
      <w:r>
        <w:t xml:space="preserve">  Table 9-7 summarizes the statistical uncertainty in the ex ante annual system peak load impact estimates for medium customers.</w:t>
      </w:r>
      <w:r w:rsidRPr="00862A0E">
        <w:t xml:space="preserve">  </w:t>
      </w:r>
      <w:r>
        <w:t xml:space="preserve">It does not, however, reflect the largest sources of uncertainty: enrollment uncertainty and the assumption that we can infer medium customers' price responsiveness based on current participants, after adjusting for differences in the industry mix.  </w:t>
      </w:r>
    </w:p>
    <w:p w:rsidR="00E7185E" w:rsidRPr="00626371" w:rsidRDefault="00E7185E" w:rsidP="00E7185E">
      <w:pPr>
        <w:pStyle w:val="TableFigureCaption"/>
      </w:pPr>
      <w:r>
        <w:t>Table 9-7</w:t>
      </w:r>
      <w:r w:rsidRPr="00626371">
        <w:t xml:space="preserve">: </w:t>
      </w:r>
      <w:r>
        <w:t>Program Annual Peak Day Load Impacts for Medium Customers with Uncertainty</w:t>
      </w:r>
      <w:r>
        <w:br/>
        <w:t>(Hourly Average Reduction in MW Over Event Day Period 1–6 PM)</w:t>
      </w:r>
    </w:p>
    <w:tbl>
      <w:tblPr>
        <w:tblW w:w="9380" w:type="dxa"/>
        <w:tblInd w:w="93" w:type="dxa"/>
        <w:tblLook w:val="04A0" w:firstRow="1" w:lastRow="0" w:firstColumn="1" w:lastColumn="0" w:noHBand="0" w:noVBand="1"/>
      </w:tblPr>
      <w:tblGrid>
        <w:gridCol w:w="1540"/>
        <w:gridCol w:w="995"/>
        <w:gridCol w:w="1245"/>
        <w:gridCol w:w="1120"/>
        <w:gridCol w:w="1120"/>
        <w:gridCol w:w="1120"/>
        <w:gridCol w:w="1120"/>
        <w:gridCol w:w="1120"/>
      </w:tblGrid>
      <w:tr w:rsidR="00E7185E" w:rsidRPr="00E7185E" w:rsidTr="00E7185E">
        <w:trPr>
          <w:trHeight w:val="510"/>
        </w:trPr>
        <w:tc>
          <w:tcPr>
            <w:tcW w:w="1540" w:type="dxa"/>
            <w:vMerge w:val="restart"/>
            <w:tcBorders>
              <w:top w:val="single" w:sz="4" w:space="0" w:color="auto"/>
              <w:left w:val="single" w:sz="4" w:space="0" w:color="auto"/>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Weather Year</w:t>
            </w:r>
          </w:p>
        </w:tc>
        <w:tc>
          <w:tcPr>
            <w:tcW w:w="995" w:type="dxa"/>
            <w:vMerge w:val="restart"/>
            <w:tcBorders>
              <w:top w:val="single" w:sz="4" w:space="0" w:color="auto"/>
              <w:left w:val="single" w:sz="4" w:space="0" w:color="FFFFFF"/>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Year</w:t>
            </w:r>
          </w:p>
        </w:tc>
        <w:tc>
          <w:tcPr>
            <w:tcW w:w="1245" w:type="dxa"/>
            <w:tcBorders>
              <w:top w:val="single" w:sz="4" w:space="0" w:color="auto"/>
              <w:left w:val="nil"/>
              <w:bottom w:val="single" w:sz="4" w:space="0" w:color="FFFFFF"/>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Avg. Load impact</w:t>
            </w:r>
          </w:p>
        </w:tc>
        <w:tc>
          <w:tcPr>
            <w:tcW w:w="5600" w:type="dxa"/>
            <w:gridSpan w:val="5"/>
            <w:tcBorders>
              <w:top w:val="single" w:sz="4" w:space="0" w:color="auto"/>
              <w:left w:val="nil"/>
              <w:bottom w:val="single" w:sz="4" w:space="0" w:color="FFFFFF"/>
              <w:right w:val="single" w:sz="4" w:space="0" w:color="000000"/>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Impact Uncertainty Percentiles</w:t>
            </w:r>
          </w:p>
        </w:tc>
      </w:tr>
      <w:tr w:rsidR="00E7185E" w:rsidRPr="00E7185E" w:rsidTr="00E7185E">
        <w:trPr>
          <w:trHeight w:val="480"/>
        </w:trPr>
        <w:tc>
          <w:tcPr>
            <w:tcW w:w="1540" w:type="dxa"/>
            <w:vMerge/>
            <w:tcBorders>
              <w:top w:val="single" w:sz="4" w:space="0" w:color="auto"/>
              <w:left w:val="single" w:sz="4" w:space="0" w:color="auto"/>
              <w:bottom w:val="single" w:sz="4" w:space="0" w:color="000000"/>
              <w:right w:val="single" w:sz="4" w:space="0" w:color="FFFFFF"/>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b/>
                <w:bCs/>
                <w:color w:val="FFFFFF"/>
                <w:sz w:val="18"/>
                <w:szCs w:val="18"/>
              </w:rPr>
            </w:pPr>
          </w:p>
        </w:tc>
        <w:tc>
          <w:tcPr>
            <w:tcW w:w="995" w:type="dxa"/>
            <w:vMerge/>
            <w:tcBorders>
              <w:top w:val="single" w:sz="4" w:space="0" w:color="auto"/>
              <w:left w:val="single" w:sz="4" w:space="0" w:color="FFFFFF"/>
              <w:bottom w:val="single" w:sz="4" w:space="0" w:color="000000"/>
              <w:right w:val="single" w:sz="4" w:space="0" w:color="FFFFFF"/>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b/>
                <w:bCs/>
                <w:color w:val="FFFFFF"/>
                <w:sz w:val="18"/>
                <w:szCs w:val="18"/>
              </w:rPr>
            </w:pPr>
          </w:p>
        </w:tc>
        <w:tc>
          <w:tcPr>
            <w:tcW w:w="1245" w:type="dxa"/>
            <w:tcBorders>
              <w:top w:val="nil"/>
              <w:left w:val="nil"/>
              <w:bottom w:val="single" w:sz="4" w:space="0" w:color="000000"/>
              <w:right w:val="single" w:sz="4" w:space="0" w:color="FFFFFF"/>
            </w:tcBorders>
            <w:shd w:val="clear" w:color="000000" w:fill="1F497D"/>
            <w:tcMar>
              <w:left w:w="43" w:type="dxa"/>
              <w:right w:w="43" w:type="dxa"/>
            </w:tcMar>
            <w:vAlign w:val="center"/>
            <w:hideMark/>
          </w:tcPr>
          <w:p w:rsid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 xml:space="preserve">MW  </w:t>
            </w:r>
          </w:p>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11 am</w:t>
            </w:r>
            <w:r>
              <w:rPr>
                <w:rFonts w:ascii="Arial" w:eastAsia="Times New Roman" w:hAnsi="Arial" w:cs="Arial"/>
                <w:b/>
                <w:bCs/>
                <w:color w:val="FFFFFF"/>
                <w:sz w:val="18"/>
                <w:szCs w:val="18"/>
              </w:rPr>
              <w:t xml:space="preserve"> – </w:t>
            </w:r>
            <w:r w:rsidRPr="00E7185E">
              <w:rPr>
                <w:rFonts w:ascii="Arial" w:eastAsia="Times New Roman" w:hAnsi="Arial" w:cs="Arial"/>
                <w:b/>
                <w:bCs/>
                <w:color w:val="FFFFFF"/>
                <w:sz w:val="18"/>
                <w:szCs w:val="18"/>
              </w:rPr>
              <w:t>6 pm</w:t>
            </w:r>
          </w:p>
        </w:tc>
        <w:tc>
          <w:tcPr>
            <w:tcW w:w="1120" w:type="dxa"/>
            <w:tcBorders>
              <w:top w:val="nil"/>
              <w:left w:val="nil"/>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10</w:t>
            </w:r>
            <w:r w:rsidRPr="00E7185E">
              <w:rPr>
                <w:rFonts w:ascii="Arial" w:eastAsia="Times New Roman" w:hAnsi="Arial" w:cs="Arial"/>
                <w:b/>
                <w:bCs/>
                <w:color w:val="FFFFFF"/>
                <w:sz w:val="18"/>
                <w:szCs w:val="18"/>
                <w:vertAlign w:val="superscript"/>
              </w:rPr>
              <w:t>th</w:t>
            </w:r>
          </w:p>
        </w:tc>
        <w:tc>
          <w:tcPr>
            <w:tcW w:w="1120" w:type="dxa"/>
            <w:tcBorders>
              <w:top w:val="nil"/>
              <w:left w:val="nil"/>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30</w:t>
            </w:r>
            <w:r w:rsidRPr="00E7185E">
              <w:rPr>
                <w:rFonts w:ascii="Arial" w:eastAsia="Times New Roman" w:hAnsi="Arial" w:cs="Arial"/>
                <w:b/>
                <w:bCs/>
                <w:color w:val="FFFFFF"/>
                <w:sz w:val="18"/>
                <w:szCs w:val="18"/>
                <w:vertAlign w:val="superscript"/>
              </w:rPr>
              <w:t>th</w:t>
            </w:r>
          </w:p>
        </w:tc>
        <w:tc>
          <w:tcPr>
            <w:tcW w:w="1120" w:type="dxa"/>
            <w:tcBorders>
              <w:top w:val="nil"/>
              <w:left w:val="nil"/>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50</w:t>
            </w:r>
            <w:r w:rsidRPr="00E7185E">
              <w:rPr>
                <w:rFonts w:ascii="Arial" w:eastAsia="Times New Roman" w:hAnsi="Arial" w:cs="Arial"/>
                <w:b/>
                <w:bCs/>
                <w:color w:val="FFFFFF"/>
                <w:sz w:val="18"/>
                <w:szCs w:val="18"/>
                <w:vertAlign w:val="superscript"/>
              </w:rPr>
              <w:t>th</w:t>
            </w:r>
          </w:p>
        </w:tc>
        <w:tc>
          <w:tcPr>
            <w:tcW w:w="1120" w:type="dxa"/>
            <w:tcBorders>
              <w:top w:val="nil"/>
              <w:left w:val="nil"/>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70</w:t>
            </w:r>
            <w:r w:rsidRPr="00E7185E">
              <w:rPr>
                <w:rFonts w:ascii="Arial" w:eastAsia="Times New Roman" w:hAnsi="Arial" w:cs="Arial"/>
                <w:b/>
                <w:bCs/>
                <w:color w:val="FFFFFF"/>
                <w:sz w:val="18"/>
                <w:szCs w:val="18"/>
                <w:vertAlign w:val="superscript"/>
              </w:rPr>
              <w:t>th</w:t>
            </w:r>
          </w:p>
        </w:tc>
        <w:tc>
          <w:tcPr>
            <w:tcW w:w="1120" w:type="dxa"/>
            <w:tcBorders>
              <w:top w:val="nil"/>
              <w:left w:val="nil"/>
              <w:bottom w:val="single" w:sz="4" w:space="0" w:color="000000"/>
              <w:right w:val="single" w:sz="4" w:space="0" w:color="FFFFFF"/>
            </w:tcBorders>
            <w:shd w:val="clear" w:color="000000" w:fill="1F497D"/>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b/>
                <w:bCs/>
                <w:color w:val="FFFFFF"/>
                <w:sz w:val="18"/>
                <w:szCs w:val="18"/>
              </w:rPr>
            </w:pPr>
            <w:r w:rsidRPr="00E7185E">
              <w:rPr>
                <w:rFonts w:ascii="Arial" w:eastAsia="Times New Roman" w:hAnsi="Arial" w:cs="Arial"/>
                <w:b/>
                <w:bCs/>
                <w:color w:val="FFFFFF"/>
                <w:sz w:val="18"/>
                <w:szCs w:val="18"/>
              </w:rPr>
              <w:t>90</w:t>
            </w:r>
            <w:r w:rsidRPr="00E7185E">
              <w:rPr>
                <w:rFonts w:ascii="Arial" w:eastAsia="Times New Roman" w:hAnsi="Arial" w:cs="Arial"/>
                <w:b/>
                <w:bCs/>
                <w:color w:val="FFFFFF"/>
                <w:sz w:val="18"/>
                <w:szCs w:val="18"/>
                <w:vertAlign w:val="superscript"/>
              </w:rPr>
              <w:t>th</w:t>
            </w:r>
          </w:p>
        </w:tc>
      </w:tr>
      <w:tr w:rsidR="00E7185E" w:rsidRPr="00E7185E" w:rsidTr="00F15A2F">
        <w:trPr>
          <w:trHeight w:val="317"/>
        </w:trPr>
        <w:tc>
          <w:tcPr>
            <w:tcW w:w="1540" w:type="dxa"/>
            <w:vMerge w:val="restart"/>
            <w:tcBorders>
              <w:top w:val="nil"/>
              <w:left w:val="single" w:sz="4" w:space="0" w:color="auto"/>
              <w:bottom w:val="nil"/>
              <w:right w:val="single" w:sz="4" w:space="0" w:color="000000"/>
            </w:tcBorders>
            <w:shd w:val="clear" w:color="auto" w:fill="auto"/>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1-in-10 August System Peak Day</w:t>
            </w: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2013</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w:t>
            </w:r>
          </w:p>
        </w:tc>
      </w:tr>
      <w:tr w:rsidR="00E7185E" w:rsidRPr="00E7185E" w:rsidTr="00F15A2F">
        <w:trPr>
          <w:trHeight w:val="317"/>
        </w:trPr>
        <w:tc>
          <w:tcPr>
            <w:tcW w:w="154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2014</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11.2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15.3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25.3</w:t>
            </w:r>
          </w:p>
        </w:tc>
      </w:tr>
      <w:tr w:rsidR="00E7185E" w:rsidRPr="00E7185E" w:rsidTr="00F15A2F">
        <w:trPr>
          <w:trHeight w:val="317"/>
        </w:trPr>
        <w:tc>
          <w:tcPr>
            <w:tcW w:w="154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2015</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11.3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14.9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23.6</w:t>
            </w:r>
          </w:p>
        </w:tc>
      </w:tr>
      <w:tr w:rsidR="00E7185E" w:rsidRPr="00E7185E" w:rsidTr="00F15A2F">
        <w:trPr>
          <w:trHeight w:val="317"/>
        </w:trPr>
        <w:tc>
          <w:tcPr>
            <w:tcW w:w="154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2016</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24.9</w:t>
            </w:r>
          </w:p>
        </w:tc>
      </w:tr>
      <w:tr w:rsidR="00E7185E" w:rsidRPr="00E7185E" w:rsidTr="00F15A2F">
        <w:trPr>
          <w:trHeight w:val="317"/>
        </w:trPr>
        <w:tc>
          <w:tcPr>
            <w:tcW w:w="154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2017</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25.2</w:t>
            </w:r>
          </w:p>
        </w:tc>
      </w:tr>
      <w:tr w:rsidR="00E7185E" w:rsidRPr="00E7185E" w:rsidTr="00F15A2F">
        <w:trPr>
          <w:trHeight w:val="317"/>
        </w:trPr>
        <w:tc>
          <w:tcPr>
            <w:tcW w:w="154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2018</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25.5</w:t>
            </w:r>
          </w:p>
        </w:tc>
      </w:tr>
      <w:tr w:rsidR="00E7185E" w:rsidRPr="00E7185E" w:rsidTr="00F15A2F">
        <w:trPr>
          <w:trHeight w:val="317"/>
        </w:trPr>
        <w:tc>
          <w:tcPr>
            <w:tcW w:w="154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2019</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25.9</w:t>
            </w:r>
          </w:p>
        </w:tc>
      </w:tr>
      <w:tr w:rsidR="00E7185E" w:rsidRPr="00E7185E" w:rsidTr="00F15A2F">
        <w:trPr>
          <w:trHeight w:val="317"/>
        </w:trPr>
        <w:tc>
          <w:tcPr>
            <w:tcW w:w="154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2020</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26.3</w:t>
            </w:r>
          </w:p>
        </w:tc>
      </w:tr>
      <w:tr w:rsidR="00E7185E" w:rsidRPr="00E7185E" w:rsidTr="00F15A2F">
        <w:trPr>
          <w:trHeight w:val="317"/>
        </w:trPr>
        <w:tc>
          <w:tcPr>
            <w:tcW w:w="154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2021</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26.6</w:t>
            </w:r>
          </w:p>
        </w:tc>
      </w:tr>
      <w:tr w:rsidR="00E7185E" w:rsidRPr="00E7185E" w:rsidTr="00F15A2F">
        <w:trPr>
          <w:trHeight w:val="317"/>
        </w:trPr>
        <w:tc>
          <w:tcPr>
            <w:tcW w:w="154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2022</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23.0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27.0</w:t>
            </w:r>
          </w:p>
        </w:tc>
      </w:tr>
      <w:tr w:rsidR="00E7185E" w:rsidRPr="00E7185E" w:rsidTr="00F15A2F">
        <w:trPr>
          <w:trHeight w:val="317"/>
        </w:trPr>
        <w:tc>
          <w:tcPr>
            <w:tcW w:w="1540" w:type="dxa"/>
            <w:vMerge/>
            <w:tcBorders>
              <w:top w:val="nil"/>
              <w:left w:val="single" w:sz="4" w:space="0" w:color="auto"/>
              <w:bottom w:val="nil"/>
              <w:right w:val="single" w:sz="4" w:space="0" w:color="000000"/>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2023</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23.3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27.4</w:t>
            </w:r>
          </w:p>
        </w:tc>
      </w:tr>
      <w:tr w:rsidR="00E7185E" w:rsidRPr="00E7185E" w:rsidTr="00F15A2F">
        <w:trPr>
          <w:trHeight w:val="317"/>
        </w:trPr>
        <w:tc>
          <w:tcPr>
            <w:tcW w:w="1540" w:type="dxa"/>
            <w:vMerge w:val="restart"/>
            <w:tcBorders>
              <w:top w:val="single" w:sz="4" w:space="0" w:color="auto"/>
              <w:left w:val="single" w:sz="4" w:space="0" w:color="auto"/>
              <w:bottom w:val="single" w:sz="4" w:space="0" w:color="auto"/>
              <w:right w:val="single" w:sz="4" w:space="0" w:color="auto"/>
            </w:tcBorders>
            <w:shd w:val="clear" w:color="auto" w:fill="auto"/>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1-in-2 August System Peak Day</w:t>
            </w: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2013</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w:t>
            </w:r>
          </w:p>
        </w:tc>
      </w:tr>
      <w:tr w:rsidR="00E7185E" w:rsidRPr="00E7185E" w:rsidTr="00F15A2F">
        <w:trPr>
          <w:trHeight w:val="317"/>
        </w:trPr>
        <w:tc>
          <w:tcPr>
            <w:tcW w:w="154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2014</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10.9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14.9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24.4</w:t>
            </w:r>
          </w:p>
        </w:tc>
      </w:tr>
      <w:tr w:rsidR="00E7185E" w:rsidRPr="00E7185E" w:rsidTr="00F15A2F">
        <w:trPr>
          <w:trHeight w:val="317"/>
        </w:trPr>
        <w:tc>
          <w:tcPr>
            <w:tcW w:w="154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2015</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11.0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14.5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22.8</w:t>
            </w:r>
          </w:p>
        </w:tc>
      </w:tr>
      <w:tr w:rsidR="00E7185E" w:rsidRPr="00E7185E" w:rsidTr="00F15A2F">
        <w:trPr>
          <w:trHeight w:val="317"/>
        </w:trPr>
        <w:tc>
          <w:tcPr>
            <w:tcW w:w="154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2016</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15.6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24.1</w:t>
            </w:r>
          </w:p>
        </w:tc>
      </w:tr>
      <w:tr w:rsidR="00E7185E" w:rsidRPr="00E7185E" w:rsidTr="00F15A2F">
        <w:trPr>
          <w:trHeight w:val="317"/>
        </w:trPr>
        <w:tc>
          <w:tcPr>
            <w:tcW w:w="154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2017</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15.8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24.4</w:t>
            </w:r>
          </w:p>
        </w:tc>
      </w:tr>
      <w:tr w:rsidR="00E7185E" w:rsidRPr="00E7185E" w:rsidTr="00F15A2F">
        <w:trPr>
          <w:trHeight w:val="317"/>
        </w:trPr>
        <w:tc>
          <w:tcPr>
            <w:tcW w:w="154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2018</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24.7</w:t>
            </w:r>
          </w:p>
        </w:tc>
      </w:tr>
      <w:tr w:rsidR="00E7185E" w:rsidRPr="00E7185E" w:rsidTr="00F15A2F">
        <w:trPr>
          <w:trHeight w:val="317"/>
        </w:trPr>
        <w:tc>
          <w:tcPr>
            <w:tcW w:w="154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2019</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18.8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25.1</w:t>
            </w:r>
          </w:p>
        </w:tc>
      </w:tr>
      <w:tr w:rsidR="00E7185E" w:rsidRPr="00E7185E" w:rsidTr="00F15A2F">
        <w:trPr>
          <w:trHeight w:val="317"/>
        </w:trPr>
        <w:tc>
          <w:tcPr>
            <w:tcW w:w="154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2020</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12.8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16.5</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19.1</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21.7</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25.4</w:t>
            </w:r>
          </w:p>
        </w:tc>
      </w:tr>
      <w:tr w:rsidR="00E7185E" w:rsidRPr="00E7185E" w:rsidTr="00F15A2F">
        <w:trPr>
          <w:trHeight w:val="317"/>
        </w:trPr>
        <w:tc>
          <w:tcPr>
            <w:tcW w:w="154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2021</w:t>
            </w:r>
          </w:p>
        </w:tc>
        <w:tc>
          <w:tcPr>
            <w:tcW w:w="1245"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16.8</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19.4</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25.8</w:t>
            </w:r>
          </w:p>
        </w:tc>
      </w:tr>
      <w:tr w:rsidR="00E7185E" w:rsidRPr="00E7185E" w:rsidTr="00F15A2F">
        <w:trPr>
          <w:trHeight w:val="317"/>
        </w:trPr>
        <w:tc>
          <w:tcPr>
            <w:tcW w:w="154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nil"/>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2022</w:t>
            </w:r>
          </w:p>
        </w:tc>
        <w:tc>
          <w:tcPr>
            <w:tcW w:w="1245" w:type="dxa"/>
            <w:tcBorders>
              <w:top w:val="nil"/>
              <w:left w:val="single" w:sz="4" w:space="0" w:color="000000"/>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17.0</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26.1</w:t>
            </w:r>
          </w:p>
        </w:tc>
      </w:tr>
      <w:tr w:rsidR="00E7185E" w:rsidRPr="00E7185E" w:rsidTr="00F15A2F">
        <w:trPr>
          <w:trHeight w:val="317"/>
        </w:trPr>
        <w:tc>
          <w:tcPr>
            <w:tcW w:w="1540" w:type="dxa"/>
            <w:vMerge/>
            <w:tcBorders>
              <w:top w:val="single" w:sz="4" w:space="0" w:color="auto"/>
              <w:left w:val="single" w:sz="4" w:space="0" w:color="auto"/>
              <w:bottom w:val="single" w:sz="4" w:space="0" w:color="auto"/>
              <w:right w:val="single" w:sz="4" w:space="0" w:color="auto"/>
            </w:tcBorders>
            <w:tcMar>
              <w:left w:w="43" w:type="dxa"/>
              <w:right w:w="43" w:type="dxa"/>
            </w:tcMar>
            <w:vAlign w:val="center"/>
            <w:hideMark/>
          </w:tcPr>
          <w:p w:rsidR="00E7185E" w:rsidRPr="00E7185E" w:rsidRDefault="00E7185E" w:rsidP="00E7185E">
            <w:pPr>
              <w:spacing w:after="0" w:line="240" w:lineRule="auto"/>
              <w:rPr>
                <w:rFonts w:ascii="Arial" w:eastAsia="Times New Roman" w:hAnsi="Arial" w:cs="Arial"/>
                <w:color w:val="000000"/>
                <w:sz w:val="18"/>
                <w:szCs w:val="18"/>
              </w:rPr>
            </w:pPr>
          </w:p>
        </w:tc>
        <w:tc>
          <w:tcPr>
            <w:tcW w:w="995" w:type="dxa"/>
            <w:tcBorders>
              <w:top w:val="nil"/>
              <w:left w:val="nil"/>
              <w:bottom w:val="single" w:sz="4" w:space="0" w:color="000000"/>
              <w:right w:val="nil"/>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2023</w:t>
            </w:r>
          </w:p>
        </w:tc>
        <w:tc>
          <w:tcPr>
            <w:tcW w:w="1245" w:type="dxa"/>
            <w:tcBorders>
              <w:top w:val="nil"/>
              <w:left w:val="single" w:sz="4" w:space="0" w:color="000000"/>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13.3</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17.2</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19.9</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22.6</w:t>
            </w:r>
          </w:p>
        </w:tc>
        <w:tc>
          <w:tcPr>
            <w:tcW w:w="1120" w:type="dxa"/>
            <w:tcBorders>
              <w:top w:val="nil"/>
              <w:left w:val="nil"/>
              <w:bottom w:val="single" w:sz="4" w:space="0" w:color="000000"/>
              <w:right w:val="single" w:sz="4" w:space="0" w:color="000000"/>
            </w:tcBorders>
            <w:shd w:val="clear" w:color="auto" w:fill="auto"/>
            <w:noWrap/>
            <w:tcMar>
              <w:left w:w="43" w:type="dxa"/>
              <w:right w:w="43" w:type="dxa"/>
            </w:tcMar>
            <w:vAlign w:val="center"/>
            <w:hideMark/>
          </w:tcPr>
          <w:p w:rsidR="00E7185E" w:rsidRPr="00E7185E" w:rsidRDefault="00E7185E" w:rsidP="00E7185E">
            <w:pPr>
              <w:spacing w:after="0" w:line="240" w:lineRule="auto"/>
              <w:jc w:val="center"/>
              <w:rPr>
                <w:rFonts w:ascii="Arial" w:eastAsia="Times New Roman" w:hAnsi="Arial" w:cs="Arial"/>
                <w:color w:val="000000"/>
                <w:sz w:val="18"/>
                <w:szCs w:val="18"/>
              </w:rPr>
            </w:pPr>
            <w:r w:rsidRPr="00E7185E">
              <w:rPr>
                <w:rFonts w:ascii="Arial" w:eastAsia="Times New Roman" w:hAnsi="Arial" w:cs="Arial"/>
                <w:color w:val="000000"/>
                <w:sz w:val="18"/>
                <w:szCs w:val="18"/>
              </w:rPr>
              <w:t>26.5</w:t>
            </w:r>
          </w:p>
        </w:tc>
      </w:tr>
    </w:tbl>
    <w:p w:rsidR="00DE245E" w:rsidRDefault="00FD4F5B" w:rsidP="00626371">
      <w:pPr>
        <w:pStyle w:val="Heading1"/>
      </w:pPr>
      <w:r>
        <w:br w:type="column"/>
      </w:r>
      <w:bookmarkStart w:id="217" w:name="_Toc352323668"/>
      <w:r w:rsidR="00FC7FFB" w:rsidRPr="00626371">
        <w:lastRenderedPageBreak/>
        <w:t>Recommendations</w:t>
      </w:r>
      <w:bookmarkEnd w:id="217"/>
    </w:p>
    <w:p w:rsidR="00B76201" w:rsidRDefault="00B76201" w:rsidP="00B76201">
      <w:pPr>
        <w:pStyle w:val="BodyParagraph"/>
      </w:pPr>
      <w:r>
        <w:t xml:space="preserve">The empirical data from PG&amp;E, SCE and SDG&amp;E’s default critical peak pricing programs has produced many practical insights about load impacts from large customer participants on default dynamic pricing rates.  However, there remains limited empirical data concerning how medium customers respond to default CPP rates.  In addition, both SCE and PG&amp;E will implement changes to the CPP program design: </w:t>
      </w:r>
      <w:r w:rsidRPr="00884AB9">
        <w:t xml:space="preserve">SCE will provide customers </w:t>
      </w:r>
      <w:r>
        <w:t xml:space="preserve">with </w:t>
      </w:r>
      <w:r w:rsidRPr="00884AB9">
        <w:t>the ability to partially or fully insure their load against high CPP prices and both PG&amp;E and SCE will adjust event windows from 2</w:t>
      </w:r>
      <w:r>
        <w:t>–</w:t>
      </w:r>
      <w:r w:rsidRPr="00884AB9">
        <w:t>6 PM to 1</w:t>
      </w:r>
      <w:r>
        <w:t>–</w:t>
      </w:r>
      <w:r w:rsidRPr="00884AB9">
        <w:t xml:space="preserve">6 PM. </w:t>
      </w:r>
      <w:r>
        <w:t xml:space="preserve"> </w:t>
      </w:r>
    </w:p>
    <w:p w:rsidR="00B76201" w:rsidRDefault="00B76201" w:rsidP="00B76201">
      <w:pPr>
        <w:pStyle w:val="BodyParagraph"/>
        <w:rPr>
          <w:rFonts w:cs="Arial"/>
          <w:b/>
          <w:szCs w:val="21"/>
        </w:rPr>
      </w:pPr>
      <w:r>
        <w:t>These changes provide a unique opportunity to estimate the effect of program changes through well designed tests rather than after-the-fact analysis. A</w:t>
      </w:r>
      <w:r w:rsidRPr="00E43EA4">
        <w:t xml:space="preserve">lthough </w:t>
      </w:r>
      <w:r>
        <w:rPr>
          <w:rStyle w:val="BodyParagraphChar"/>
        </w:rPr>
        <w:t>FSC</w:t>
      </w:r>
      <w:r w:rsidRPr="00DE245E">
        <w:rPr>
          <w:rStyle w:val="BodyParagraphChar"/>
        </w:rPr>
        <w:t xml:space="preserve"> recommend</w:t>
      </w:r>
      <w:r>
        <w:rPr>
          <w:rStyle w:val="BodyParagraphChar"/>
        </w:rPr>
        <w:t>s</w:t>
      </w:r>
      <w:r w:rsidRPr="00DE245E">
        <w:rPr>
          <w:rStyle w:val="BodyParagraphChar"/>
        </w:rPr>
        <w:t xml:space="preserve"> specific research steps, the additional research can impose additional costs that may not be currently funded.  The recommendations presented in this section also may not be feasible at each utility due to the pre-established</w:t>
      </w:r>
      <w:r>
        <w:t xml:space="preserve"> schedules for implementing default CPP and resource constraints. </w:t>
      </w:r>
    </w:p>
    <w:p w:rsidR="00B76201" w:rsidRDefault="00B76201" w:rsidP="00B76201">
      <w:pPr>
        <w:pStyle w:val="BodyBeforeBullet"/>
      </w:pPr>
      <w:r>
        <w:t xml:space="preserve">Our testing and evaluation recommendations are: </w:t>
      </w:r>
    </w:p>
    <w:p w:rsidR="00B76201" w:rsidRDefault="00B76201" w:rsidP="00B76201">
      <w:pPr>
        <w:pStyle w:val="Bullets"/>
      </w:pPr>
      <w:r w:rsidRPr="00E14841">
        <w:rPr>
          <w:i/>
        </w:rPr>
        <w:t xml:space="preserve">Conduct an early test of default CPP for medium customers. </w:t>
      </w:r>
      <w:r>
        <w:t xml:space="preserve">Experimentation and test-and-learn strategies are at the very core of successful innovation.  It is a way to learn what works and, more importantly, learn what doesn’t.  </w:t>
      </w:r>
      <w:r w:rsidRPr="00535AA9">
        <w:t xml:space="preserve">The basic idea is </w:t>
      </w:r>
      <w:r>
        <w:t xml:space="preserve">to conduct small scale tests </w:t>
      </w:r>
      <w:r w:rsidRPr="00535AA9">
        <w:t xml:space="preserve">as early as possible to avoid making </w:t>
      </w:r>
      <w:r>
        <w:t xml:space="preserve">more costly </w:t>
      </w:r>
      <w:r w:rsidRPr="00535AA9">
        <w:t>mistakes later in</w:t>
      </w:r>
      <w:r>
        <w:t xml:space="preserve"> </w:t>
      </w:r>
      <w:r w:rsidRPr="00535AA9">
        <w:t>the process</w:t>
      </w:r>
      <w:r>
        <w:t>.  FSC recommends that</w:t>
      </w:r>
      <w:r w:rsidRPr="00B10BD1">
        <w:t xml:space="preserve"> utilities test def</w:t>
      </w:r>
      <w:r>
        <w:t xml:space="preserve">ault CPP with a smaller, random </w:t>
      </w:r>
      <w:r w:rsidRPr="00B10BD1">
        <w:t xml:space="preserve">sub-set of </w:t>
      </w:r>
      <w:r>
        <w:t xml:space="preserve">medium </w:t>
      </w:r>
      <w:r w:rsidRPr="00B10BD1">
        <w:t xml:space="preserve">customers prior to full implementation. This would allow utilities the opportunity to test </w:t>
      </w:r>
      <w:r w:rsidR="00E17557">
        <w:t xml:space="preserve">and evaluate the effectiveness of </w:t>
      </w:r>
      <w:r w:rsidRPr="00B10BD1">
        <w:t>the default process,</w:t>
      </w:r>
      <w:r>
        <w:t xml:space="preserve"> reduce uncertainty about enrollments and demand reductions</w:t>
      </w:r>
      <w:r w:rsidRPr="00B10BD1">
        <w:t xml:space="preserve"> and make appropriate adjustments prior to full implementation. </w:t>
      </w:r>
      <w:r>
        <w:t xml:space="preserve"> Currently, there is very little precedent for a shift to default dynamic </w:t>
      </w:r>
      <w:r w:rsidR="00E17557">
        <w:t>rates among these customers.  M</w:t>
      </w:r>
      <w:r>
        <w:t>ost assumptions about how medium customers will</w:t>
      </w:r>
      <w:r w:rsidR="00E17557">
        <w:t xml:space="preserve"> engage and </w:t>
      </w:r>
      <w:r>
        <w:t>respond are</w:t>
      </w:r>
      <w:r w:rsidR="00E17557">
        <w:t xml:space="preserve"> uncertainty because they are</w:t>
      </w:r>
      <w:r>
        <w:t xml:space="preserve"> based on implementation of default CPP for large customers.</w:t>
      </w:r>
    </w:p>
    <w:p w:rsidR="00B76201" w:rsidRDefault="00B76201" w:rsidP="00B76201">
      <w:pPr>
        <w:pStyle w:val="Bullets"/>
      </w:pPr>
      <w:r w:rsidRPr="00E14841">
        <w:rPr>
          <w:i/>
        </w:rPr>
        <w:t xml:space="preserve">Evaluate demand reductions closer to </w:t>
      </w:r>
      <w:r>
        <w:rPr>
          <w:i/>
        </w:rPr>
        <w:t xml:space="preserve">event days </w:t>
      </w:r>
      <w:r w:rsidRPr="00E14841">
        <w:rPr>
          <w:i/>
        </w:rPr>
        <w:t xml:space="preserve">by using a control group with a difference-in-differences calculation. </w:t>
      </w:r>
      <w:r>
        <w:t xml:space="preserve"> Initial </w:t>
      </w:r>
      <w:r w:rsidR="00E17557">
        <w:t xml:space="preserve">post event estimates of load impacts </w:t>
      </w:r>
      <w:r>
        <w:t>have typically relied on day-matching baselines and have sometimes differed substantially from evaluation results. Using control groups provides a unique opportunity to better align immediate post event results with the final</w:t>
      </w:r>
      <w:r w:rsidR="00E17557">
        <w:t xml:space="preserve"> ex post</w:t>
      </w:r>
      <w:r>
        <w:t xml:space="preserve"> evaluation results.  This faster</w:t>
      </w:r>
      <w:r w:rsidR="00E17557">
        <w:t xml:space="preserve"> and more accurate</w:t>
      </w:r>
      <w:r>
        <w:t xml:space="preserve"> evaluation feedback is particularly useful when major program changes occur, such as the implementation of default CPP for medium customers.  Doing so requires developing </w:t>
      </w:r>
      <w:r w:rsidR="00E17557">
        <w:t xml:space="preserve">matched </w:t>
      </w:r>
      <w:r>
        <w:t xml:space="preserve">participant and control groups in advance rather than after the fact.  In other words, the control group would need to be selected and validated in May or early June of each year. A key benefit of using control groups is that they do not rely exclusively on non-event day weather to estimate demand reductions.  Customers in both control and participant groups experience the same weather.  As a result, control groups are more valuable for extreme temperature events. </w:t>
      </w:r>
    </w:p>
    <w:p w:rsidR="00B76201" w:rsidRDefault="00B76201" w:rsidP="00B76201">
      <w:pPr>
        <w:pStyle w:val="BulletLast"/>
      </w:pPr>
      <w:r w:rsidRPr="000A759F">
        <w:rPr>
          <w:i/>
        </w:rPr>
        <w:t xml:space="preserve">Estimate the effect of program changes through research design rather than after-the-fact analysis. </w:t>
      </w:r>
      <w:r w:rsidRPr="00276070">
        <w:t>The scheduled program changes at PG&amp;E and SCE provide a unique opportunity to assess the effect, if any, of program changes</w:t>
      </w:r>
      <w:r w:rsidR="00E17557">
        <w:t xml:space="preserve"> on load impacts</w:t>
      </w:r>
      <w:r w:rsidRPr="00276070">
        <w:t>.</w:t>
      </w:r>
      <w:r>
        <w:t xml:space="preserve"> </w:t>
      </w:r>
      <w:r w:rsidRPr="00276070">
        <w:t xml:space="preserve"> </w:t>
      </w:r>
      <w:r>
        <w:t>S</w:t>
      </w:r>
      <w:r w:rsidRPr="00276070">
        <w:t>pecific</w:t>
      </w:r>
      <w:r>
        <w:t xml:space="preserve">ally, it can help answer two key research questions: Does providing customers the </w:t>
      </w:r>
      <w:r w:rsidRPr="00884AB9">
        <w:t>ability to partially or fully insure their load against high CPP prices</w:t>
      </w:r>
      <w:r>
        <w:t xml:space="preserve"> dampen </w:t>
      </w:r>
      <w:r w:rsidR="00E17557">
        <w:t xml:space="preserve">participant </w:t>
      </w:r>
      <w:r>
        <w:t>demand r</w:t>
      </w:r>
      <w:r w:rsidR="00E17557">
        <w:t>eductions</w:t>
      </w:r>
      <w:r>
        <w:t xml:space="preserve">? </w:t>
      </w:r>
      <w:r w:rsidR="00E17557">
        <w:t xml:space="preserve"> </w:t>
      </w:r>
      <w:r>
        <w:t xml:space="preserve">Does expanding the event window lead to lower demand reductions?  The ideal approach to answering these questions </w:t>
      </w:r>
      <w:r w:rsidR="00E17557">
        <w:t xml:space="preserve">with scientific accuracy </w:t>
      </w:r>
      <w:r>
        <w:t xml:space="preserve">is a phased roll-out of program changes in combination with random assignment.  Under this scenario, customers are randomly assigned to one of two groups.  In the first year, the program change is implemented for one group, allowing a side-by-side comparison of impacts with and without the program change.  By the second year, the program change is implemented across the full population.  </w:t>
      </w:r>
    </w:p>
    <w:p w:rsidR="003762BD" w:rsidRDefault="008629BE" w:rsidP="001C4623">
      <w:pPr>
        <w:pStyle w:val="AppendixHeading"/>
        <w:numPr>
          <w:ilvl w:val="0"/>
          <w:numId w:val="10"/>
        </w:numPr>
      </w:pPr>
      <w:bookmarkStart w:id="218" w:name="_Toc347226686"/>
      <w:r>
        <w:br w:type="column"/>
      </w:r>
      <w:bookmarkStart w:id="219" w:name="_Toc352323669"/>
      <w:r w:rsidR="003762BD" w:rsidRPr="00EF5842">
        <w:lastRenderedPageBreak/>
        <w:t>Difference</w:t>
      </w:r>
      <w:r w:rsidR="003762BD">
        <w:t>-in-differences Regression Models</w:t>
      </w:r>
      <w:bookmarkEnd w:id="218"/>
      <w:bookmarkEnd w:id="219"/>
    </w:p>
    <w:p w:rsidR="003762BD" w:rsidRDefault="006722FF" w:rsidP="00EF5842">
      <w:pPr>
        <w:pStyle w:val="BodyBeforeBullet"/>
      </w:pPr>
      <w:r>
        <w:t>S</w:t>
      </w:r>
      <w:r w:rsidR="003762BD">
        <w:t xml:space="preserve">eparate models </w:t>
      </w:r>
      <w:r>
        <w:t xml:space="preserve">are estimated </w:t>
      </w:r>
      <w:r w:rsidR="003762BD">
        <w:t xml:space="preserve">for each hour.  The analysis dataset consisted of the event-like days and actual event days for CPP customers and their matched control group customers.  The dependent variable was the hourly consumption over the course of each hour.  We intentionally elected to use a treatment model rather than a price elasticity model for two reasons.  First, for any hour </w:t>
      </w:r>
      <w:r>
        <w:t xml:space="preserve">there are </w:t>
      </w:r>
      <w:r w:rsidR="003762BD">
        <w:t>only have two price points, or at most three, which is insufficient for fitting price elasticity curves.</w:t>
      </w:r>
      <w:r w:rsidR="003762BD">
        <w:rPr>
          <w:rStyle w:val="FootnoteReference"/>
        </w:rPr>
        <w:footnoteReference w:id="30"/>
      </w:r>
      <w:r w:rsidR="003762BD">
        <w:t xml:space="preserve">  Second, it </w:t>
      </w:r>
      <w:r w:rsidR="003762BD" w:rsidRPr="00A765EB">
        <w:t>avoids assumptions</w:t>
      </w:r>
      <w:r w:rsidR="003762BD">
        <w:t xml:space="preserve"> such as constant price elasticity inherent in demand models.  The model is expressed by the below equations: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8"/>
        <w:gridCol w:w="7848"/>
      </w:tblGrid>
      <w:tr w:rsidR="003762BD" w:rsidTr="003762BD">
        <w:trPr>
          <w:trHeight w:val="432"/>
        </w:trPr>
        <w:tc>
          <w:tcPr>
            <w:tcW w:w="1728" w:type="dxa"/>
            <w:tcMar>
              <w:top w:w="144" w:type="dxa"/>
              <w:left w:w="115" w:type="dxa"/>
              <w:bottom w:w="144" w:type="dxa"/>
              <w:right w:w="115" w:type="dxa"/>
            </w:tcMar>
            <w:vAlign w:val="center"/>
          </w:tcPr>
          <w:p w:rsidR="003762BD" w:rsidRDefault="003762BD" w:rsidP="003762BD">
            <w:pPr>
              <w:pStyle w:val="BodyParagraph"/>
              <w:spacing w:after="0"/>
              <w:jc w:val="center"/>
            </w:pPr>
            <w:r>
              <w:t>Avg. Event Equation:</w:t>
            </w:r>
          </w:p>
        </w:tc>
        <w:tc>
          <w:tcPr>
            <w:tcW w:w="7848" w:type="dxa"/>
            <w:tcMar>
              <w:top w:w="144" w:type="dxa"/>
              <w:left w:w="115" w:type="dxa"/>
              <w:bottom w:w="144" w:type="dxa"/>
              <w:right w:w="115" w:type="dxa"/>
            </w:tcMar>
            <w:vAlign w:val="center"/>
          </w:tcPr>
          <w:p w:rsidR="003762BD" w:rsidRPr="00BA1B39" w:rsidRDefault="00010384" w:rsidP="003762BD">
            <w:pPr>
              <w:pStyle w:val="BodyParagraph"/>
              <w:spacing w:after="0"/>
              <w:jc w:val="both"/>
              <w:rPr>
                <w:szCs w:val="18"/>
              </w:rPr>
            </w:pPr>
            <m:oMathPara>
              <m:oMathParaPr>
                <m:jc m:val="left"/>
              </m:oMathParaPr>
              <m:oMath>
                <m:sSubSup>
                  <m:sSubSupPr>
                    <m:ctrlPr>
                      <w:rPr>
                        <w:rFonts w:ascii="Cambria Math" w:hAnsi="Cambria Math"/>
                        <w:i/>
                        <w:szCs w:val="18"/>
                      </w:rPr>
                    </m:ctrlPr>
                  </m:sSubSupPr>
                  <m:e>
                    <m:r>
                      <w:rPr>
                        <w:rFonts w:ascii="Cambria Math" w:hAnsi="Cambria Math"/>
                        <w:szCs w:val="18"/>
                      </w:rPr>
                      <m:t>kW</m:t>
                    </m:r>
                  </m:e>
                  <m:sub>
                    <m:r>
                      <w:rPr>
                        <w:rFonts w:ascii="Cambria Math" w:hAnsi="Cambria Math"/>
                        <w:szCs w:val="18"/>
                      </w:rPr>
                      <m:t>i, t</m:t>
                    </m:r>
                  </m:sub>
                  <m:sup/>
                </m:sSubSup>
                <m:r>
                  <w:rPr>
                    <w:rFonts w:ascii="Cambria Math" w:eastAsiaTheme="minorEastAsia" w:hAnsi="Cambria Math"/>
                    <w:szCs w:val="18"/>
                  </w:rPr>
                  <m:t>=a+b∙</m:t>
                </m:r>
                <m:sSub>
                  <m:sSubPr>
                    <m:ctrlPr>
                      <w:rPr>
                        <w:rFonts w:ascii="Cambria Math" w:eastAsiaTheme="minorEastAsia" w:hAnsi="Cambria Math"/>
                        <w:i/>
                        <w:szCs w:val="18"/>
                      </w:rPr>
                    </m:ctrlPr>
                  </m:sSubPr>
                  <m:e>
                    <m:r>
                      <w:rPr>
                        <w:rFonts w:ascii="Cambria Math" w:eastAsiaTheme="minorEastAsia" w:hAnsi="Cambria Math"/>
                        <w:szCs w:val="18"/>
                      </w:rPr>
                      <m:t>Treatment</m:t>
                    </m:r>
                  </m:e>
                  <m:sub>
                    <m:r>
                      <w:rPr>
                        <w:rFonts w:ascii="Cambria Math" w:eastAsiaTheme="minorEastAsia" w:hAnsi="Cambria Math"/>
                        <w:szCs w:val="18"/>
                      </w:rPr>
                      <m:t>i</m:t>
                    </m:r>
                  </m:sub>
                </m:sSub>
                <m:r>
                  <w:rPr>
                    <w:rFonts w:ascii="Cambria Math" w:eastAsiaTheme="minorEastAsia" w:hAnsi="Cambria Math"/>
                    <w:szCs w:val="18"/>
                  </w:rPr>
                  <m:t>+c∙</m:t>
                </m:r>
                <m:sSub>
                  <m:sSubPr>
                    <m:ctrlPr>
                      <w:rPr>
                        <w:rFonts w:ascii="Cambria Math" w:eastAsiaTheme="minorEastAsia" w:hAnsi="Cambria Math"/>
                        <w:i/>
                        <w:szCs w:val="18"/>
                      </w:rPr>
                    </m:ctrlPr>
                  </m:sSubPr>
                  <m:e>
                    <m:r>
                      <w:rPr>
                        <w:rFonts w:ascii="Cambria Math" w:eastAsiaTheme="minorEastAsia" w:hAnsi="Cambria Math"/>
                        <w:szCs w:val="18"/>
                      </w:rPr>
                      <m:t>Event</m:t>
                    </m:r>
                  </m:e>
                  <m:sub>
                    <m:r>
                      <w:rPr>
                        <w:rFonts w:ascii="Cambria Math" w:eastAsiaTheme="minorEastAsia" w:hAnsi="Cambria Math"/>
                        <w:szCs w:val="18"/>
                      </w:rPr>
                      <m:t>t</m:t>
                    </m:r>
                  </m:sub>
                </m:sSub>
                <m:r>
                  <w:rPr>
                    <w:rFonts w:ascii="Cambria Math" w:eastAsiaTheme="minorEastAsia" w:hAnsi="Cambria Math"/>
                    <w:szCs w:val="18"/>
                  </w:rPr>
                  <m:t>+d∙</m:t>
                </m:r>
                <m:d>
                  <m:dPr>
                    <m:ctrlPr>
                      <w:rPr>
                        <w:rFonts w:ascii="Cambria Math" w:eastAsiaTheme="minorEastAsia" w:hAnsi="Cambria Math"/>
                        <w:i/>
                        <w:szCs w:val="18"/>
                      </w:rPr>
                    </m:ctrlPr>
                  </m:dPr>
                  <m:e>
                    <m:sSub>
                      <m:sSubPr>
                        <m:ctrlPr>
                          <w:rPr>
                            <w:rFonts w:ascii="Cambria Math" w:eastAsiaTheme="minorEastAsia" w:hAnsi="Cambria Math"/>
                            <w:i/>
                            <w:szCs w:val="18"/>
                          </w:rPr>
                        </m:ctrlPr>
                      </m:sSubPr>
                      <m:e>
                        <m:r>
                          <w:rPr>
                            <w:rFonts w:ascii="Cambria Math" w:eastAsiaTheme="minorEastAsia" w:hAnsi="Cambria Math"/>
                            <w:szCs w:val="18"/>
                          </w:rPr>
                          <m:t>Treatment</m:t>
                        </m:r>
                      </m:e>
                      <m:sub>
                        <m:r>
                          <w:rPr>
                            <w:rFonts w:ascii="Cambria Math" w:eastAsiaTheme="minorEastAsia" w:hAnsi="Cambria Math"/>
                            <w:szCs w:val="18"/>
                          </w:rPr>
                          <m:t>i</m:t>
                        </m:r>
                      </m:sub>
                    </m:sSub>
                    <m:r>
                      <w:rPr>
                        <w:rFonts w:ascii="Cambria Math" w:eastAsiaTheme="minorEastAsia" w:hAnsi="Cambria Math"/>
                        <w:szCs w:val="18"/>
                      </w:rPr>
                      <m:t>∙</m:t>
                    </m:r>
                    <m:sSub>
                      <m:sSubPr>
                        <m:ctrlPr>
                          <w:rPr>
                            <w:rFonts w:ascii="Cambria Math" w:eastAsiaTheme="minorEastAsia" w:hAnsi="Cambria Math"/>
                            <w:i/>
                            <w:szCs w:val="18"/>
                          </w:rPr>
                        </m:ctrlPr>
                      </m:sSubPr>
                      <m:e>
                        <m:r>
                          <w:rPr>
                            <w:rFonts w:ascii="Cambria Math" w:eastAsiaTheme="minorEastAsia" w:hAnsi="Cambria Math"/>
                            <w:szCs w:val="18"/>
                          </w:rPr>
                          <m:t>Event</m:t>
                        </m:r>
                      </m:e>
                      <m:sub>
                        <m:r>
                          <w:rPr>
                            <w:rFonts w:ascii="Cambria Math" w:eastAsiaTheme="minorEastAsia" w:hAnsi="Cambria Math"/>
                            <w:szCs w:val="18"/>
                          </w:rPr>
                          <m:t>t</m:t>
                        </m:r>
                      </m:sub>
                    </m:sSub>
                  </m:e>
                </m:d>
                <m:r>
                  <w:rPr>
                    <w:rFonts w:ascii="Cambria Math" w:eastAsiaTheme="minorEastAsia" w:hAnsi="Cambria Math"/>
                    <w:szCs w:val="18"/>
                  </w:rPr>
                  <m:t xml:space="preserve">+ </m:t>
                </m:r>
                <m:sSub>
                  <m:sSubPr>
                    <m:ctrlPr>
                      <w:rPr>
                        <w:rFonts w:ascii="Cambria Math" w:eastAsiaTheme="minorEastAsia" w:hAnsi="Cambria Math"/>
                        <w:i/>
                        <w:szCs w:val="18"/>
                      </w:rPr>
                    </m:ctrlPr>
                  </m:sSubPr>
                  <m:e>
                    <m:r>
                      <w:rPr>
                        <w:rFonts w:ascii="Cambria Math" w:eastAsiaTheme="minorEastAsia" w:hAnsi="Cambria Math"/>
                        <w:szCs w:val="18"/>
                      </w:rPr>
                      <m:t>u</m:t>
                    </m:r>
                  </m:e>
                  <m:sub>
                    <m:r>
                      <w:rPr>
                        <w:rFonts w:ascii="Cambria Math" w:eastAsiaTheme="minorEastAsia" w:hAnsi="Cambria Math"/>
                        <w:szCs w:val="18"/>
                      </w:rPr>
                      <m:t>t</m:t>
                    </m:r>
                  </m:sub>
                </m:sSub>
                <m:r>
                  <w:rPr>
                    <w:rFonts w:ascii="Cambria Math" w:eastAsiaTheme="minorEastAsia" w:hAnsi="Cambria Math"/>
                    <w:szCs w:val="18"/>
                  </w:rPr>
                  <m:t>+</m:t>
                </m:r>
                <m:sSub>
                  <m:sSubPr>
                    <m:ctrlPr>
                      <w:rPr>
                        <w:rFonts w:ascii="Cambria Math" w:eastAsiaTheme="minorEastAsia" w:hAnsi="Cambria Math"/>
                        <w:i/>
                        <w:szCs w:val="18"/>
                      </w:rPr>
                    </m:ctrlPr>
                  </m:sSubPr>
                  <m:e>
                    <m:r>
                      <w:rPr>
                        <w:rFonts w:ascii="Cambria Math" w:eastAsiaTheme="minorEastAsia" w:hAnsi="Cambria Math"/>
                        <w:szCs w:val="18"/>
                      </w:rPr>
                      <m:t>v</m:t>
                    </m:r>
                  </m:e>
                  <m:sub>
                    <m:r>
                      <w:rPr>
                        <w:rFonts w:ascii="Cambria Math" w:eastAsiaTheme="minorEastAsia" w:hAnsi="Cambria Math"/>
                        <w:szCs w:val="18"/>
                      </w:rPr>
                      <m:t>i</m:t>
                    </m:r>
                  </m:sub>
                </m:sSub>
                <m:r>
                  <w:rPr>
                    <w:rFonts w:ascii="Cambria Math" w:eastAsiaTheme="minorEastAsia" w:hAnsi="Cambria Math"/>
                    <w:szCs w:val="18"/>
                  </w:rPr>
                  <m:t>+</m:t>
                </m:r>
                <m:sSub>
                  <m:sSubPr>
                    <m:ctrlPr>
                      <w:rPr>
                        <w:rFonts w:ascii="Cambria Math" w:eastAsiaTheme="minorEastAsia" w:hAnsi="Cambria Math"/>
                        <w:i/>
                        <w:szCs w:val="18"/>
                      </w:rPr>
                    </m:ctrlPr>
                  </m:sSubPr>
                  <m:e>
                    <m:r>
                      <w:rPr>
                        <w:rFonts w:ascii="Cambria Math" w:eastAsiaTheme="minorEastAsia" w:hAnsi="Cambria Math"/>
                        <w:szCs w:val="18"/>
                      </w:rPr>
                      <m:t>ε</m:t>
                    </m:r>
                  </m:e>
                  <m:sub>
                    <m:r>
                      <w:rPr>
                        <w:rFonts w:ascii="Cambria Math" w:eastAsiaTheme="minorEastAsia" w:hAnsi="Cambria Math"/>
                        <w:szCs w:val="18"/>
                      </w:rPr>
                      <m:t>i,t</m:t>
                    </m:r>
                  </m:sub>
                </m:sSub>
              </m:oMath>
            </m:oMathPara>
          </w:p>
        </w:tc>
      </w:tr>
      <w:tr w:rsidR="003762BD" w:rsidTr="003762BD">
        <w:trPr>
          <w:trHeight w:val="432"/>
        </w:trPr>
        <w:tc>
          <w:tcPr>
            <w:tcW w:w="1728" w:type="dxa"/>
            <w:tcMar>
              <w:top w:w="144" w:type="dxa"/>
              <w:left w:w="115" w:type="dxa"/>
              <w:bottom w:w="144" w:type="dxa"/>
              <w:right w:w="115" w:type="dxa"/>
            </w:tcMar>
            <w:vAlign w:val="center"/>
          </w:tcPr>
          <w:p w:rsidR="003762BD" w:rsidRDefault="003762BD" w:rsidP="003762BD">
            <w:pPr>
              <w:pStyle w:val="BodyParagraph"/>
              <w:spacing w:after="0"/>
              <w:jc w:val="center"/>
            </w:pPr>
            <w:r>
              <w:t>Individual Event Equation:</w:t>
            </w:r>
          </w:p>
        </w:tc>
        <w:tc>
          <w:tcPr>
            <w:tcW w:w="7848" w:type="dxa"/>
            <w:tcMar>
              <w:top w:w="144" w:type="dxa"/>
              <w:left w:w="115" w:type="dxa"/>
              <w:bottom w:w="144" w:type="dxa"/>
              <w:right w:w="115" w:type="dxa"/>
            </w:tcMar>
            <w:vAlign w:val="center"/>
          </w:tcPr>
          <w:p w:rsidR="003762BD" w:rsidRPr="00BA1B39" w:rsidRDefault="00010384" w:rsidP="003762BD">
            <w:pPr>
              <w:pStyle w:val="BodyParagraph"/>
              <w:spacing w:after="0"/>
              <w:jc w:val="both"/>
              <w:rPr>
                <w:szCs w:val="18"/>
              </w:rPr>
            </w:pPr>
            <m:oMathPara>
              <m:oMathParaPr>
                <m:jc m:val="left"/>
              </m:oMathParaPr>
              <m:oMath>
                <m:sSubSup>
                  <m:sSubSupPr>
                    <m:ctrlPr>
                      <w:rPr>
                        <w:rFonts w:ascii="Cambria Math" w:hAnsi="Cambria Math"/>
                        <w:i/>
                        <w:szCs w:val="18"/>
                      </w:rPr>
                    </m:ctrlPr>
                  </m:sSubSupPr>
                  <m:e>
                    <m:r>
                      <w:rPr>
                        <w:rFonts w:ascii="Cambria Math" w:hAnsi="Cambria Math"/>
                        <w:szCs w:val="18"/>
                      </w:rPr>
                      <m:t>kW</m:t>
                    </m:r>
                  </m:e>
                  <m:sub>
                    <m:r>
                      <w:rPr>
                        <w:rFonts w:ascii="Cambria Math" w:hAnsi="Cambria Math"/>
                        <w:szCs w:val="18"/>
                      </w:rPr>
                      <m:t>i, t</m:t>
                    </m:r>
                  </m:sub>
                  <m:sup/>
                </m:sSubSup>
                <m:r>
                  <w:rPr>
                    <w:rFonts w:ascii="Cambria Math" w:eastAsiaTheme="minorEastAsia" w:hAnsi="Cambria Math"/>
                    <w:szCs w:val="18"/>
                  </w:rPr>
                  <m:t>=a+b∙</m:t>
                </m:r>
                <m:sSub>
                  <m:sSubPr>
                    <m:ctrlPr>
                      <w:rPr>
                        <w:rFonts w:ascii="Cambria Math" w:eastAsiaTheme="minorEastAsia" w:hAnsi="Cambria Math"/>
                        <w:i/>
                        <w:szCs w:val="18"/>
                      </w:rPr>
                    </m:ctrlPr>
                  </m:sSubPr>
                  <m:e>
                    <m:r>
                      <w:rPr>
                        <w:rFonts w:ascii="Cambria Math" w:eastAsiaTheme="minorEastAsia" w:hAnsi="Cambria Math"/>
                        <w:szCs w:val="18"/>
                      </w:rPr>
                      <m:t>Treatment</m:t>
                    </m:r>
                  </m:e>
                  <m:sub>
                    <m:r>
                      <w:rPr>
                        <w:rFonts w:ascii="Cambria Math" w:eastAsiaTheme="minorEastAsia" w:hAnsi="Cambria Math"/>
                        <w:szCs w:val="18"/>
                      </w:rPr>
                      <m:t>i</m:t>
                    </m:r>
                  </m:sub>
                </m:sSub>
                <m:r>
                  <w:rPr>
                    <w:rFonts w:ascii="Cambria Math" w:eastAsiaTheme="minorEastAsia" w:hAnsi="Cambria Math"/>
                    <w:szCs w:val="18"/>
                  </w:rPr>
                  <m:t>+</m:t>
                </m:r>
                <m:nary>
                  <m:naryPr>
                    <m:chr m:val="∑"/>
                    <m:limLoc m:val="undOvr"/>
                    <m:ctrlPr>
                      <w:rPr>
                        <w:rFonts w:ascii="Cambria Math" w:eastAsiaTheme="minorEastAsia" w:hAnsi="Cambria Math"/>
                        <w:i/>
                        <w:szCs w:val="18"/>
                      </w:rPr>
                    </m:ctrlPr>
                  </m:naryPr>
                  <m:sub>
                    <m:r>
                      <w:rPr>
                        <w:rFonts w:ascii="Cambria Math" w:eastAsiaTheme="minorEastAsia" w:hAnsi="Cambria Math"/>
                        <w:szCs w:val="18"/>
                      </w:rPr>
                      <m:t>n=1</m:t>
                    </m:r>
                  </m:sub>
                  <m:sup>
                    <m:r>
                      <w:rPr>
                        <w:rFonts w:ascii="Cambria Math" w:eastAsiaTheme="minorEastAsia" w:hAnsi="Cambria Math"/>
                        <w:szCs w:val="18"/>
                      </w:rPr>
                      <m:t>max</m:t>
                    </m:r>
                  </m:sup>
                  <m:e>
                    <m:sSub>
                      <m:sSubPr>
                        <m:ctrlPr>
                          <w:rPr>
                            <w:rFonts w:ascii="Cambria Math" w:eastAsiaTheme="minorEastAsia" w:hAnsi="Cambria Math"/>
                            <w:i/>
                            <w:szCs w:val="18"/>
                          </w:rPr>
                        </m:ctrlPr>
                      </m:sSubPr>
                      <m:e>
                        <m:r>
                          <w:rPr>
                            <w:rFonts w:ascii="Cambria Math" w:eastAsiaTheme="minorEastAsia" w:hAnsi="Cambria Math"/>
                            <w:szCs w:val="18"/>
                          </w:rPr>
                          <m:t>c</m:t>
                        </m:r>
                      </m:e>
                      <m:sub>
                        <m:r>
                          <w:rPr>
                            <w:rFonts w:ascii="Cambria Math" w:eastAsiaTheme="minorEastAsia" w:hAnsi="Cambria Math"/>
                            <w:szCs w:val="18"/>
                          </w:rPr>
                          <m:t>n</m:t>
                        </m:r>
                      </m:sub>
                    </m:sSub>
                    <m:r>
                      <w:rPr>
                        <w:rFonts w:ascii="Cambria Math" w:eastAsiaTheme="minorEastAsia" w:hAnsi="Cambria Math"/>
                        <w:szCs w:val="18"/>
                      </w:rPr>
                      <m:t>∙</m:t>
                    </m:r>
                    <m:sSub>
                      <m:sSubPr>
                        <m:ctrlPr>
                          <w:rPr>
                            <w:rFonts w:ascii="Cambria Math" w:eastAsiaTheme="minorEastAsia" w:hAnsi="Cambria Math"/>
                            <w:i/>
                            <w:szCs w:val="18"/>
                          </w:rPr>
                        </m:ctrlPr>
                      </m:sSubPr>
                      <m:e>
                        <m:r>
                          <w:rPr>
                            <w:rFonts w:ascii="Cambria Math" w:eastAsiaTheme="minorEastAsia" w:hAnsi="Cambria Math"/>
                            <w:szCs w:val="18"/>
                          </w:rPr>
                          <m:t>Event</m:t>
                        </m:r>
                      </m:e>
                      <m:sub>
                        <m:r>
                          <w:rPr>
                            <w:rFonts w:ascii="Cambria Math" w:eastAsiaTheme="minorEastAsia" w:hAnsi="Cambria Math"/>
                            <w:szCs w:val="18"/>
                          </w:rPr>
                          <m:t>n</m:t>
                        </m:r>
                      </m:sub>
                    </m:sSub>
                  </m:e>
                </m:nary>
                <m:r>
                  <w:rPr>
                    <w:rFonts w:ascii="Cambria Math" w:eastAsiaTheme="minorEastAsia" w:hAnsi="Cambria Math"/>
                    <w:szCs w:val="18"/>
                  </w:rPr>
                  <m:t>+</m:t>
                </m:r>
                <m:nary>
                  <m:naryPr>
                    <m:chr m:val="∑"/>
                    <m:limLoc m:val="undOvr"/>
                    <m:ctrlPr>
                      <w:rPr>
                        <w:rFonts w:ascii="Cambria Math" w:eastAsiaTheme="minorEastAsia" w:hAnsi="Cambria Math"/>
                        <w:i/>
                        <w:szCs w:val="18"/>
                      </w:rPr>
                    </m:ctrlPr>
                  </m:naryPr>
                  <m:sub>
                    <m:r>
                      <w:rPr>
                        <w:rFonts w:ascii="Cambria Math" w:eastAsiaTheme="minorEastAsia" w:hAnsi="Cambria Math"/>
                        <w:szCs w:val="18"/>
                      </w:rPr>
                      <m:t>n=1</m:t>
                    </m:r>
                  </m:sub>
                  <m:sup>
                    <m:r>
                      <w:rPr>
                        <w:rFonts w:ascii="Cambria Math" w:eastAsiaTheme="minorEastAsia" w:hAnsi="Cambria Math"/>
                        <w:szCs w:val="18"/>
                      </w:rPr>
                      <m:t>m</m:t>
                    </m:r>
                    <m:r>
                      <w:rPr>
                        <w:rFonts w:ascii="Cambria Math" w:eastAsiaTheme="minorEastAsia" w:hAnsi="Cambria Math"/>
                        <w:szCs w:val="18"/>
                      </w:rPr>
                      <m:t>ax</m:t>
                    </m:r>
                  </m:sup>
                  <m:e>
                    <m:sSub>
                      <m:sSubPr>
                        <m:ctrlPr>
                          <w:rPr>
                            <w:rFonts w:ascii="Cambria Math" w:eastAsiaTheme="minorEastAsia" w:hAnsi="Cambria Math"/>
                            <w:i/>
                            <w:szCs w:val="18"/>
                          </w:rPr>
                        </m:ctrlPr>
                      </m:sSubPr>
                      <m:e>
                        <m:r>
                          <w:rPr>
                            <w:rFonts w:ascii="Cambria Math" w:eastAsiaTheme="minorEastAsia" w:hAnsi="Cambria Math"/>
                            <w:szCs w:val="18"/>
                          </w:rPr>
                          <m:t>d</m:t>
                        </m:r>
                      </m:e>
                      <m:sub>
                        <m:r>
                          <w:rPr>
                            <w:rFonts w:ascii="Cambria Math" w:eastAsiaTheme="minorEastAsia" w:hAnsi="Cambria Math"/>
                            <w:szCs w:val="18"/>
                          </w:rPr>
                          <m:t>n</m:t>
                        </m:r>
                      </m:sub>
                    </m:sSub>
                    <m:r>
                      <w:rPr>
                        <w:rFonts w:ascii="Cambria Math" w:eastAsiaTheme="minorEastAsia" w:hAnsi="Cambria Math"/>
                        <w:szCs w:val="18"/>
                      </w:rPr>
                      <m:t>∙</m:t>
                    </m:r>
                    <m:d>
                      <m:dPr>
                        <m:ctrlPr>
                          <w:rPr>
                            <w:rFonts w:ascii="Cambria Math" w:eastAsiaTheme="minorEastAsia" w:hAnsi="Cambria Math"/>
                            <w:i/>
                            <w:szCs w:val="18"/>
                          </w:rPr>
                        </m:ctrlPr>
                      </m:dPr>
                      <m:e>
                        <m:sSub>
                          <m:sSubPr>
                            <m:ctrlPr>
                              <w:rPr>
                                <w:rFonts w:ascii="Cambria Math" w:eastAsiaTheme="minorEastAsia" w:hAnsi="Cambria Math"/>
                                <w:i/>
                                <w:szCs w:val="18"/>
                              </w:rPr>
                            </m:ctrlPr>
                          </m:sSubPr>
                          <m:e>
                            <m:r>
                              <w:rPr>
                                <w:rFonts w:ascii="Cambria Math" w:eastAsiaTheme="minorEastAsia" w:hAnsi="Cambria Math"/>
                                <w:szCs w:val="18"/>
                              </w:rPr>
                              <m:t>Treatment</m:t>
                            </m:r>
                          </m:e>
                          <m:sub>
                            <m:r>
                              <w:rPr>
                                <w:rFonts w:ascii="Cambria Math" w:eastAsiaTheme="minorEastAsia" w:hAnsi="Cambria Math"/>
                                <w:szCs w:val="18"/>
                              </w:rPr>
                              <m:t>i</m:t>
                            </m:r>
                          </m:sub>
                        </m:sSub>
                        <m:r>
                          <w:rPr>
                            <w:rFonts w:ascii="Cambria Math" w:eastAsiaTheme="minorEastAsia" w:hAnsi="Cambria Math"/>
                            <w:szCs w:val="18"/>
                          </w:rPr>
                          <m:t>∙</m:t>
                        </m:r>
                        <m:sSub>
                          <m:sSubPr>
                            <m:ctrlPr>
                              <w:rPr>
                                <w:rFonts w:ascii="Cambria Math" w:eastAsiaTheme="minorEastAsia" w:hAnsi="Cambria Math"/>
                                <w:i/>
                                <w:szCs w:val="18"/>
                              </w:rPr>
                            </m:ctrlPr>
                          </m:sSubPr>
                          <m:e>
                            <m:r>
                              <w:rPr>
                                <w:rFonts w:ascii="Cambria Math" w:eastAsiaTheme="minorEastAsia" w:hAnsi="Cambria Math"/>
                                <w:szCs w:val="18"/>
                              </w:rPr>
                              <m:t>Event</m:t>
                            </m:r>
                          </m:e>
                          <m:sub>
                            <m:r>
                              <w:rPr>
                                <w:rFonts w:ascii="Cambria Math" w:eastAsiaTheme="minorEastAsia" w:hAnsi="Cambria Math"/>
                                <w:szCs w:val="18"/>
                              </w:rPr>
                              <m:t>n</m:t>
                            </m:r>
                          </m:sub>
                        </m:sSub>
                      </m:e>
                    </m:d>
                  </m:e>
                </m:nary>
                <m:r>
                  <w:rPr>
                    <w:rFonts w:ascii="Cambria Math" w:eastAsiaTheme="minorEastAsia" w:hAnsi="Cambria Math"/>
                    <w:szCs w:val="18"/>
                  </w:rPr>
                  <m:t xml:space="preserve">+ </m:t>
                </m:r>
                <m:sSub>
                  <m:sSubPr>
                    <m:ctrlPr>
                      <w:rPr>
                        <w:rFonts w:ascii="Cambria Math" w:eastAsiaTheme="minorEastAsia" w:hAnsi="Cambria Math"/>
                        <w:i/>
                        <w:szCs w:val="18"/>
                      </w:rPr>
                    </m:ctrlPr>
                  </m:sSubPr>
                  <m:e>
                    <m:r>
                      <w:rPr>
                        <w:rFonts w:ascii="Cambria Math" w:eastAsiaTheme="minorEastAsia" w:hAnsi="Cambria Math"/>
                        <w:szCs w:val="18"/>
                      </w:rPr>
                      <m:t>u</m:t>
                    </m:r>
                  </m:e>
                  <m:sub>
                    <m:r>
                      <w:rPr>
                        <w:rFonts w:ascii="Cambria Math" w:eastAsiaTheme="minorEastAsia" w:hAnsi="Cambria Math"/>
                        <w:szCs w:val="18"/>
                      </w:rPr>
                      <m:t>t</m:t>
                    </m:r>
                  </m:sub>
                </m:sSub>
                <m:r>
                  <w:rPr>
                    <w:rFonts w:ascii="Cambria Math" w:eastAsiaTheme="minorEastAsia" w:hAnsi="Cambria Math"/>
                    <w:szCs w:val="18"/>
                  </w:rPr>
                  <m:t>+</m:t>
                </m:r>
                <m:sSub>
                  <m:sSubPr>
                    <m:ctrlPr>
                      <w:rPr>
                        <w:rFonts w:ascii="Cambria Math" w:eastAsiaTheme="minorEastAsia" w:hAnsi="Cambria Math"/>
                        <w:i/>
                        <w:szCs w:val="18"/>
                      </w:rPr>
                    </m:ctrlPr>
                  </m:sSubPr>
                  <m:e>
                    <m:r>
                      <w:rPr>
                        <w:rFonts w:ascii="Cambria Math" w:eastAsiaTheme="minorEastAsia" w:hAnsi="Cambria Math"/>
                        <w:szCs w:val="18"/>
                      </w:rPr>
                      <m:t>v</m:t>
                    </m:r>
                  </m:e>
                  <m:sub>
                    <m:r>
                      <w:rPr>
                        <w:rFonts w:ascii="Cambria Math" w:eastAsiaTheme="minorEastAsia" w:hAnsi="Cambria Math"/>
                        <w:szCs w:val="18"/>
                      </w:rPr>
                      <m:t>i</m:t>
                    </m:r>
                  </m:sub>
                </m:sSub>
                <m:r>
                  <w:rPr>
                    <w:rFonts w:ascii="Cambria Math" w:eastAsiaTheme="minorEastAsia" w:hAnsi="Cambria Math"/>
                    <w:szCs w:val="18"/>
                  </w:rPr>
                  <m:t>+</m:t>
                </m:r>
                <m:sSub>
                  <m:sSubPr>
                    <m:ctrlPr>
                      <w:rPr>
                        <w:rFonts w:ascii="Cambria Math" w:eastAsiaTheme="minorEastAsia" w:hAnsi="Cambria Math"/>
                        <w:i/>
                        <w:szCs w:val="18"/>
                      </w:rPr>
                    </m:ctrlPr>
                  </m:sSubPr>
                  <m:e>
                    <m:r>
                      <w:rPr>
                        <w:rFonts w:ascii="Cambria Math" w:eastAsiaTheme="minorEastAsia" w:hAnsi="Cambria Math"/>
                        <w:szCs w:val="18"/>
                      </w:rPr>
                      <m:t>ε</m:t>
                    </m:r>
                  </m:e>
                  <m:sub>
                    <m:r>
                      <w:rPr>
                        <w:rFonts w:ascii="Cambria Math" w:eastAsiaTheme="minorEastAsia" w:hAnsi="Cambria Math"/>
                        <w:szCs w:val="18"/>
                      </w:rPr>
                      <m:t>i,t</m:t>
                    </m:r>
                  </m:sub>
                </m:sSub>
              </m:oMath>
            </m:oMathPara>
          </w:p>
        </w:tc>
      </w:tr>
    </w:tbl>
    <w:tbl>
      <w:tblPr>
        <w:tblStyle w:val="TableGrid"/>
        <w:tblpPr w:leftFromText="180" w:rightFromText="180" w:vertAnchor="text" w:horzAnchor="margin" w:tblpXSpec="right" w:tblpY="24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8159"/>
      </w:tblGrid>
      <w:tr w:rsidR="003762BD" w:rsidRPr="00B95AB2" w:rsidTr="00A97AA9">
        <w:trPr>
          <w:trHeight w:val="302"/>
        </w:trPr>
        <w:tc>
          <w:tcPr>
            <w:tcW w:w="1039" w:type="dxa"/>
            <w:tcBorders>
              <w:right w:val="single" w:sz="4" w:space="0" w:color="FFFFFF" w:themeColor="background1"/>
            </w:tcBorders>
            <w:shd w:val="clear" w:color="auto" w:fill="1F497D" w:themeFill="text2"/>
          </w:tcPr>
          <w:p w:rsidR="003762BD" w:rsidRPr="00EF5842" w:rsidRDefault="003762BD" w:rsidP="00EF5842">
            <w:pPr>
              <w:pStyle w:val="TableHeader"/>
            </w:pPr>
            <w:r w:rsidRPr="00EF5842">
              <w:t>Variable</w:t>
            </w:r>
          </w:p>
        </w:tc>
        <w:tc>
          <w:tcPr>
            <w:tcW w:w="8159" w:type="dxa"/>
            <w:tcBorders>
              <w:left w:val="single" w:sz="4" w:space="0" w:color="FFFFFF" w:themeColor="background1"/>
            </w:tcBorders>
            <w:shd w:val="clear" w:color="auto" w:fill="1F497D" w:themeFill="text2"/>
          </w:tcPr>
          <w:p w:rsidR="003762BD" w:rsidRPr="00EF5842" w:rsidRDefault="003762BD" w:rsidP="00EF5842">
            <w:pPr>
              <w:pStyle w:val="TableHeader"/>
            </w:pPr>
            <w:r w:rsidRPr="00EF5842">
              <w:t>Definition</w:t>
            </w:r>
          </w:p>
        </w:tc>
      </w:tr>
      <w:tr w:rsidR="003762BD" w:rsidTr="003762BD">
        <w:trPr>
          <w:trHeight w:val="302"/>
        </w:trPr>
        <w:tc>
          <w:tcPr>
            <w:tcW w:w="1039" w:type="dxa"/>
            <w:vAlign w:val="center"/>
          </w:tcPr>
          <w:p w:rsidR="003762BD" w:rsidRPr="0093351B" w:rsidRDefault="003762BD" w:rsidP="003762BD">
            <w:pPr>
              <w:pStyle w:val="BodyParagraph"/>
              <w:spacing w:after="0"/>
              <w:jc w:val="center"/>
              <w:rPr>
                <w:rFonts w:ascii="Times New Roman" w:hAnsi="Times New Roman" w:cs="Times New Roman"/>
                <w:i/>
                <w:szCs w:val="18"/>
              </w:rPr>
            </w:pPr>
            <w:r w:rsidRPr="0093351B">
              <w:rPr>
                <w:rFonts w:ascii="Times New Roman" w:hAnsi="Times New Roman" w:cs="Times New Roman"/>
                <w:i/>
                <w:szCs w:val="18"/>
              </w:rPr>
              <w:t>i, t</w:t>
            </w:r>
            <w:r>
              <w:rPr>
                <w:rFonts w:ascii="Times New Roman" w:hAnsi="Times New Roman" w:cs="Times New Roman"/>
                <w:i/>
                <w:szCs w:val="18"/>
              </w:rPr>
              <w:t>,</w:t>
            </w:r>
          </w:p>
        </w:tc>
        <w:tc>
          <w:tcPr>
            <w:tcW w:w="8159" w:type="dxa"/>
            <w:vAlign w:val="center"/>
          </w:tcPr>
          <w:p w:rsidR="003762BD" w:rsidRPr="0093351B" w:rsidRDefault="003762BD" w:rsidP="003762BD">
            <w:pPr>
              <w:pStyle w:val="TableText"/>
              <w:jc w:val="left"/>
            </w:pPr>
            <w:r w:rsidRPr="0093351B">
              <w:t>Indicate observations for each individual (</w:t>
            </w:r>
            <w:r w:rsidRPr="0093351B">
              <w:rPr>
                <w:i/>
              </w:rPr>
              <w:t>i</w:t>
            </w:r>
            <w:r w:rsidR="0001163F">
              <w:t>),</w:t>
            </w:r>
            <w:r w:rsidRPr="0093351B">
              <w:t xml:space="preserve"> </w:t>
            </w:r>
            <w:r>
              <w:t>date</w:t>
            </w:r>
            <w:r w:rsidRPr="0093351B">
              <w:t xml:space="preserve"> (</w:t>
            </w:r>
            <w:r w:rsidRPr="0093351B">
              <w:rPr>
                <w:i/>
              </w:rPr>
              <w:t>t</w:t>
            </w:r>
            <w:r w:rsidRPr="0093351B">
              <w:t>)</w:t>
            </w:r>
            <w:r>
              <w:t xml:space="preserve"> and event number (</w:t>
            </w:r>
            <w:r w:rsidRPr="00BA1B39">
              <w:rPr>
                <w:i/>
              </w:rPr>
              <w:t>n</w:t>
            </w:r>
            <w:r>
              <w:t>).</w:t>
            </w:r>
          </w:p>
        </w:tc>
      </w:tr>
      <w:tr w:rsidR="003762BD" w:rsidTr="003762BD">
        <w:trPr>
          <w:trHeight w:val="302"/>
        </w:trPr>
        <w:tc>
          <w:tcPr>
            <w:tcW w:w="1039" w:type="dxa"/>
            <w:vAlign w:val="center"/>
          </w:tcPr>
          <w:p w:rsidR="003762BD" w:rsidRPr="0093351B" w:rsidRDefault="003762BD" w:rsidP="003762BD">
            <w:pPr>
              <w:pStyle w:val="BodyParagraph"/>
              <w:spacing w:after="0"/>
              <w:jc w:val="center"/>
              <w:rPr>
                <w:rFonts w:ascii="Times New Roman" w:hAnsi="Times New Roman" w:cs="Times New Roman"/>
                <w:i/>
                <w:szCs w:val="18"/>
              </w:rPr>
            </w:pPr>
            <w:r w:rsidRPr="0093351B">
              <w:rPr>
                <w:rFonts w:ascii="Times New Roman" w:hAnsi="Times New Roman" w:cs="Times New Roman"/>
                <w:i/>
                <w:szCs w:val="18"/>
              </w:rPr>
              <w:t>a</w:t>
            </w:r>
          </w:p>
        </w:tc>
        <w:tc>
          <w:tcPr>
            <w:tcW w:w="8159" w:type="dxa"/>
            <w:vAlign w:val="center"/>
          </w:tcPr>
          <w:p w:rsidR="003762BD" w:rsidRPr="0093351B" w:rsidRDefault="003762BD" w:rsidP="003762BD">
            <w:pPr>
              <w:pStyle w:val="TableText"/>
              <w:jc w:val="left"/>
            </w:pPr>
            <w:r w:rsidRPr="0093351B">
              <w:t>The model constant</w:t>
            </w:r>
            <w:r>
              <w:t>.</w:t>
            </w:r>
          </w:p>
        </w:tc>
      </w:tr>
      <w:tr w:rsidR="003762BD" w:rsidTr="003762BD">
        <w:trPr>
          <w:trHeight w:val="302"/>
        </w:trPr>
        <w:tc>
          <w:tcPr>
            <w:tcW w:w="1039" w:type="dxa"/>
            <w:vAlign w:val="center"/>
          </w:tcPr>
          <w:p w:rsidR="003762BD" w:rsidRPr="0093351B" w:rsidRDefault="003762BD" w:rsidP="003762BD">
            <w:pPr>
              <w:pStyle w:val="BodyParagraph"/>
              <w:spacing w:after="0"/>
              <w:jc w:val="center"/>
              <w:rPr>
                <w:rFonts w:ascii="Times New Roman" w:hAnsi="Times New Roman" w:cs="Times New Roman"/>
                <w:i/>
                <w:szCs w:val="18"/>
              </w:rPr>
            </w:pPr>
            <w:r w:rsidRPr="0093351B">
              <w:rPr>
                <w:rFonts w:ascii="Times New Roman" w:hAnsi="Times New Roman" w:cs="Times New Roman"/>
                <w:i/>
                <w:szCs w:val="18"/>
              </w:rPr>
              <w:t>b</w:t>
            </w:r>
          </w:p>
        </w:tc>
        <w:tc>
          <w:tcPr>
            <w:tcW w:w="8159" w:type="dxa"/>
            <w:vAlign w:val="center"/>
          </w:tcPr>
          <w:p w:rsidR="003762BD" w:rsidRPr="0093351B" w:rsidRDefault="003762BD" w:rsidP="003762BD">
            <w:pPr>
              <w:pStyle w:val="TableText"/>
              <w:jc w:val="left"/>
            </w:pPr>
            <w:r>
              <w:t>Pre-existing</w:t>
            </w:r>
            <w:r w:rsidRPr="0093351B">
              <w:t xml:space="preserve"> difference between treatment and control customer</w:t>
            </w:r>
            <w:r>
              <w:t>s.</w:t>
            </w:r>
            <w:r>
              <w:rPr>
                <w:rStyle w:val="FootnoteReference"/>
              </w:rPr>
              <w:footnoteReference w:id="31"/>
            </w:r>
          </w:p>
        </w:tc>
      </w:tr>
      <w:tr w:rsidR="003762BD" w:rsidTr="003762BD">
        <w:trPr>
          <w:trHeight w:val="302"/>
        </w:trPr>
        <w:tc>
          <w:tcPr>
            <w:tcW w:w="1039" w:type="dxa"/>
            <w:vAlign w:val="center"/>
          </w:tcPr>
          <w:p w:rsidR="003762BD" w:rsidRPr="0093351B" w:rsidRDefault="003762BD" w:rsidP="003762BD">
            <w:pPr>
              <w:pStyle w:val="BodyParagraph"/>
              <w:spacing w:after="0"/>
              <w:jc w:val="center"/>
              <w:rPr>
                <w:rFonts w:ascii="Times New Roman" w:hAnsi="Times New Roman" w:cs="Times New Roman"/>
                <w:i/>
                <w:szCs w:val="18"/>
              </w:rPr>
            </w:pPr>
            <w:r w:rsidRPr="0093351B">
              <w:rPr>
                <w:rFonts w:ascii="Times New Roman" w:hAnsi="Times New Roman" w:cs="Times New Roman"/>
                <w:i/>
                <w:szCs w:val="18"/>
              </w:rPr>
              <w:t>c</w:t>
            </w:r>
          </w:p>
        </w:tc>
        <w:tc>
          <w:tcPr>
            <w:tcW w:w="8159" w:type="dxa"/>
            <w:vAlign w:val="center"/>
          </w:tcPr>
          <w:p w:rsidR="003762BD" w:rsidRPr="0093351B" w:rsidRDefault="003762BD" w:rsidP="003762BD">
            <w:pPr>
              <w:pStyle w:val="TableText"/>
              <w:jc w:val="left"/>
            </w:pPr>
            <w:r w:rsidRPr="0093351B">
              <w:t xml:space="preserve">The difference between </w:t>
            </w:r>
            <w:r>
              <w:t>event and non-event days common to both CPP participants and control group members.</w:t>
            </w:r>
            <w:r>
              <w:rPr>
                <w:rStyle w:val="FootnoteReference"/>
              </w:rPr>
              <w:footnoteReference w:id="32"/>
            </w:r>
          </w:p>
        </w:tc>
      </w:tr>
      <w:tr w:rsidR="003762BD" w:rsidTr="003762BD">
        <w:trPr>
          <w:trHeight w:val="287"/>
        </w:trPr>
        <w:tc>
          <w:tcPr>
            <w:tcW w:w="1039" w:type="dxa"/>
            <w:vAlign w:val="center"/>
          </w:tcPr>
          <w:p w:rsidR="003762BD" w:rsidRPr="0093351B" w:rsidRDefault="003762BD" w:rsidP="003762BD">
            <w:pPr>
              <w:pStyle w:val="BodyParagraph"/>
              <w:spacing w:after="0"/>
              <w:jc w:val="center"/>
              <w:rPr>
                <w:rFonts w:ascii="Times New Roman" w:hAnsi="Times New Roman" w:cs="Times New Roman"/>
                <w:i/>
                <w:szCs w:val="18"/>
              </w:rPr>
            </w:pPr>
            <w:r w:rsidRPr="0093351B">
              <w:rPr>
                <w:rFonts w:ascii="Times New Roman" w:hAnsi="Times New Roman" w:cs="Times New Roman"/>
                <w:i/>
                <w:szCs w:val="18"/>
              </w:rPr>
              <w:t>d</w:t>
            </w:r>
          </w:p>
        </w:tc>
        <w:tc>
          <w:tcPr>
            <w:tcW w:w="8159" w:type="dxa"/>
            <w:vAlign w:val="center"/>
          </w:tcPr>
          <w:p w:rsidR="003762BD" w:rsidRPr="0093351B" w:rsidRDefault="003762BD" w:rsidP="003762BD">
            <w:pPr>
              <w:pStyle w:val="TableText"/>
              <w:jc w:val="left"/>
            </w:pPr>
            <w:r>
              <w:t>The net difference between CPP and control group customers during event days</w:t>
            </w:r>
            <w:r w:rsidRPr="0093351B">
              <w:t xml:space="preserve"> – this parameter represents the difference-in-differences</w:t>
            </w:r>
            <w:r>
              <w:t>.</w:t>
            </w:r>
          </w:p>
        </w:tc>
      </w:tr>
      <w:tr w:rsidR="003762BD" w:rsidTr="003762BD">
        <w:trPr>
          <w:trHeight w:val="603"/>
        </w:trPr>
        <w:tc>
          <w:tcPr>
            <w:tcW w:w="1039" w:type="dxa"/>
            <w:vAlign w:val="center"/>
          </w:tcPr>
          <w:p w:rsidR="003762BD" w:rsidRPr="0093351B" w:rsidRDefault="003762BD" w:rsidP="003762BD">
            <w:pPr>
              <w:pStyle w:val="BodyParagraph"/>
              <w:spacing w:after="0"/>
              <w:jc w:val="center"/>
              <w:rPr>
                <w:rFonts w:ascii="Times New Roman" w:hAnsi="Times New Roman" w:cs="Times New Roman"/>
                <w:i/>
                <w:szCs w:val="18"/>
              </w:rPr>
            </w:pPr>
            <w:r w:rsidRPr="0093351B">
              <w:rPr>
                <w:rFonts w:ascii="Times New Roman" w:hAnsi="Times New Roman" w:cs="Times New Roman"/>
                <w:i/>
                <w:szCs w:val="18"/>
              </w:rPr>
              <w:t>u</w:t>
            </w:r>
          </w:p>
        </w:tc>
        <w:tc>
          <w:tcPr>
            <w:tcW w:w="8159" w:type="dxa"/>
            <w:vAlign w:val="center"/>
          </w:tcPr>
          <w:p w:rsidR="003762BD" w:rsidRPr="0093351B" w:rsidRDefault="003762BD" w:rsidP="003762BD">
            <w:pPr>
              <w:pStyle w:val="TableText"/>
              <w:jc w:val="left"/>
            </w:pPr>
            <w:r w:rsidRPr="0093351B">
              <w:t>Time effects for each</w:t>
            </w:r>
            <w:r>
              <w:t xml:space="preserve"> date</w:t>
            </w:r>
            <w:r w:rsidRPr="0093351B">
              <w:t xml:space="preserve">. </w:t>
            </w:r>
            <w:r>
              <w:t xml:space="preserve"> </w:t>
            </w:r>
            <w:r w:rsidRPr="0093351B">
              <w:t>These control for unobserved factors that</w:t>
            </w:r>
            <w:r>
              <w:t xml:space="preserve"> </w:t>
            </w:r>
            <w:r w:rsidRPr="0093351B">
              <w:t>are common to all treatment and control customers but unique to the time period</w:t>
            </w:r>
            <w:r>
              <w:t xml:space="preserve">. </w:t>
            </w:r>
          </w:p>
        </w:tc>
      </w:tr>
      <w:tr w:rsidR="003762BD" w:rsidTr="003762BD">
        <w:trPr>
          <w:trHeight w:val="603"/>
        </w:trPr>
        <w:tc>
          <w:tcPr>
            <w:tcW w:w="1039" w:type="dxa"/>
            <w:vAlign w:val="center"/>
          </w:tcPr>
          <w:p w:rsidR="003762BD" w:rsidRPr="0093351B" w:rsidRDefault="003762BD" w:rsidP="003762BD">
            <w:pPr>
              <w:pStyle w:val="BodyParagraph"/>
              <w:spacing w:after="0"/>
              <w:jc w:val="center"/>
              <w:rPr>
                <w:rFonts w:ascii="Times New Roman" w:hAnsi="Times New Roman" w:cs="Times New Roman"/>
                <w:i/>
                <w:szCs w:val="18"/>
              </w:rPr>
            </w:pPr>
            <w:r w:rsidRPr="0093351B">
              <w:rPr>
                <w:rFonts w:ascii="Times New Roman" w:hAnsi="Times New Roman" w:cs="Times New Roman"/>
                <w:i/>
                <w:szCs w:val="18"/>
              </w:rPr>
              <w:t>v</w:t>
            </w:r>
          </w:p>
        </w:tc>
        <w:tc>
          <w:tcPr>
            <w:tcW w:w="8159" w:type="dxa"/>
            <w:vAlign w:val="center"/>
          </w:tcPr>
          <w:p w:rsidR="003762BD" w:rsidRPr="0093351B" w:rsidRDefault="003762BD" w:rsidP="003762BD">
            <w:pPr>
              <w:pStyle w:val="TableText"/>
              <w:jc w:val="left"/>
            </w:pPr>
            <w:r w:rsidRPr="0093351B">
              <w:t xml:space="preserve">Customer fixed effects. </w:t>
            </w:r>
            <w:r>
              <w:t xml:space="preserve"> </w:t>
            </w:r>
            <w:r w:rsidRPr="0093351B">
              <w:t>These</w:t>
            </w:r>
            <w:r>
              <w:t xml:space="preserve"> </w:t>
            </w:r>
            <w:r w:rsidRPr="0093351B">
              <w:t xml:space="preserve">control for unobserved </w:t>
            </w:r>
            <w:r>
              <w:t xml:space="preserve">factors </w:t>
            </w:r>
            <w:r w:rsidRPr="0093351B">
              <w:t>that are time invariant</w:t>
            </w:r>
            <w:r>
              <w:t xml:space="preserve"> and unique to each customer.  It does not control for fixed characteristics such as air conditioning that </w:t>
            </w:r>
            <w:r w:rsidRPr="0093351B">
              <w:t>interact with time</w:t>
            </w:r>
            <w:r>
              <w:t xml:space="preserve"> varying factors like weather</w:t>
            </w:r>
            <w:r w:rsidRPr="0093351B">
              <w:t>.</w:t>
            </w:r>
          </w:p>
        </w:tc>
      </w:tr>
      <w:tr w:rsidR="003762BD" w:rsidTr="003762BD">
        <w:trPr>
          <w:trHeight w:val="302"/>
        </w:trPr>
        <w:tc>
          <w:tcPr>
            <w:tcW w:w="1039" w:type="dxa"/>
            <w:vAlign w:val="center"/>
          </w:tcPr>
          <w:p w:rsidR="003762BD" w:rsidRPr="0093351B" w:rsidRDefault="003762BD" w:rsidP="003762BD">
            <w:pPr>
              <w:pStyle w:val="BodyParagraph"/>
              <w:spacing w:after="0"/>
              <w:jc w:val="center"/>
              <w:rPr>
                <w:rFonts w:ascii="Times New Roman" w:hAnsi="Times New Roman" w:cs="Times New Roman"/>
                <w:i/>
                <w:szCs w:val="18"/>
              </w:rPr>
            </w:pPr>
            <w:r w:rsidRPr="0093351B">
              <w:rPr>
                <w:rFonts w:ascii="Times New Roman" w:hAnsi="Times New Roman" w:cs="Times New Roman"/>
                <w:i/>
                <w:szCs w:val="18"/>
              </w:rPr>
              <w:t>ε</w:t>
            </w:r>
          </w:p>
        </w:tc>
        <w:tc>
          <w:tcPr>
            <w:tcW w:w="8159" w:type="dxa"/>
            <w:vAlign w:val="center"/>
          </w:tcPr>
          <w:p w:rsidR="003762BD" w:rsidRPr="0093351B" w:rsidRDefault="003762BD" w:rsidP="003762BD">
            <w:pPr>
              <w:pStyle w:val="TableText"/>
              <w:jc w:val="left"/>
            </w:pPr>
            <w:r w:rsidRPr="0093351B">
              <w:t>The error for each individual customer and time period</w:t>
            </w:r>
            <w:r>
              <w:t>.</w:t>
            </w:r>
          </w:p>
        </w:tc>
      </w:tr>
      <w:tr w:rsidR="003762BD" w:rsidTr="003762BD">
        <w:trPr>
          <w:trHeight w:val="302"/>
        </w:trPr>
        <w:tc>
          <w:tcPr>
            <w:tcW w:w="1039" w:type="dxa"/>
            <w:vAlign w:val="center"/>
          </w:tcPr>
          <w:p w:rsidR="003762BD" w:rsidRPr="0093351B" w:rsidRDefault="003762BD" w:rsidP="003762BD">
            <w:pPr>
              <w:pStyle w:val="BodyParagraph"/>
              <w:spacing w:after="0"/>
              <w:jc w:val="center"/>
              <w:rPr>
                <w:rFonts w:ascii="Times New Roman" w:hAnsi="Times New Roman" w:cs="Times New Roman"/>
                <w:i/>
                <w:szCs w:val="18"/>
              </w:rPr>
            </w:pPr>
            <w:r w:rsidRPr="0093351B">
              <w:rPr>
                <w:rFonts w:ascii="Times New Roman" w:hAnsi="Times New Roman" w:cs="Times New Roman"/>
                <w:i/>
                <w:szCs w:val="18"/>
              </w:rPr>
              <w:t>Treatment</w:t>
            </w:r>
          </w:p>
        </w:tc>
        <w:tc>
          <w:tcPr>
            <w:tcW w:w="8159" w:type="dxa"/>
            <w:vAlign w:val="center"/>
          </w:tcPr>
          <w:p w:rsidR="003762BD" w:rsidRPr="0093351B" w:rsidRDefault="003762BD" w:rsidP="003762BD">
            <w:pPr>
              <w:pStyle w:val="TableText"/>
              <w:jc w:val="left"/>
            </w:pPr>
            <w:r w:rsidRPr="0093351B">
              <w:t>A binary indicator or whether or not the customer is part of the treatment</w:t>
            </w:r>
            <w:r>
              <w:t xml:space="preserve"> (CPP)</w:t>
            </w:r>
            <w:r w:rsidRPr="0093351B">
              <w:t xml:space="preserve"> or control group</w:t>
            </w:r>
            <w:r>
              <w:t>.</w:t>
            </w:r>
          </w:p>
        </w:tc>
      </w:tr>
      <w:tr w:rsidR="003762BD" w:rsidTr="003762BD">
        <w:trPr>
          <w:trHeight w:val="302"/>
        </w:trPr>
        <w:tc>
          <w:tcPr>
            <w:tcW w:w="1039" w:type="dxa"/>
            <w:vAlign w:val="center"/>
          </w:tcPr>
          <w:p w:rsidR="003762BD" w:rsidRPr="0093351B" w:rsidRDefault="003762BD" w:rsidP="003762BD">
            <w:pPr>
              <w:pStyle w:val="BodyParagraph"/>
              <w:spacing w:after="0"/>
              <w:jc w:val="center"/>
              <w:rPr>
                <w:rFonts w:ascii="Times New Roman" w:hAnsi="Times New Roman" w:cs="Times New Roman"/>
                <w:i/>
                <w:szCs w:val="18"/>
              </w:rPr>
            </w:pPr>
            <w:r>
              <w:rPr>
                <w:rFonts w:ascii="Times New Roman" w:hAnsi="Times New Roman" w:cs="Times New Roman"/>
                <w:i/>
                <w:szCs w:val="18"/>
              </w:rPr>
              <w:t>Event</w:t>
            </w:r>
          </w:p>
        </w:tc>
        <w:tc>
          <w:tcPr>
            <w:tcW w:w="8159" w:type="dxa"/>
            <w:vAlign w:val="center"/>
          </w:tcPr>
          <w:p w:rsidR="003762BD" w:rsidRPr="0093351B" w:rsidRDefault="003762BD" w:rsidP="003762BD">
            <w:pPr>
              <w:pStyle w:val="TableText"/>
              <w:jc w:val="left"/>
            </w:pPr>
            <w:r w:rsidRPr="0093351B">
              <w:t xml:space="preserve">A binary indicator of whether </w:t>
            </w:r>
            <w:r>
              <w:t>an event occurred that day.  Impacts are only observed if the customer is on CPP</w:t>
            </w:r>
            <w:r w:rsidRPr="00BA1B39">
              <w:rPr>
                <w:i/>
              </w:rPr>
              <w:t xml:space="preserve"> (Treatment =1) </w:t>
            </w:r>
            <w:r>
              <w:t>and it was an event day.</w:t>
            </w:r>
          </w:p>
        </w:tc>
      </w:tr>
    </w:tbl>
    <w:p w:rsidR="003762BD" w:rsidRDefault="003762BD" w:rsidP="003762BD">
      <w:pPr>
        <w:pStyle w:val="BodyParaAfterTableFigure"/>
      </w:pPr>
      <w:r>
        <w:t>Tables A-1 through A-3 present the hourly regression results, including coefficients, standard errors, confidence intervals and R-squared values for the average event day of each utility.  All regression models were estimated in STATA using robust standard errors.</w:t>
      </w:r>
    </w:p>
    <w:p w:rsidR="003762BD" w:rsidRPr="00EF5842" w:rsidRDefault="003762BD" w:rsidP="00EF5842">
      <w:pPr>
        <w:pStyle w:val="TableFigureCaption"/>
      </w:pPr>
      <w:r>
        <w:br w:type="column"/>
      </w:r>
      <w:r w:rsidRPr="00EF5842">
        <w:lastRenderedPageBreak/>
        <w:t>Table A-1: Simple Difference-in-</w:t>
      </w:r>
      <w:r w:rsidR="00CA470C">
        <w:t>d</w:t>
      </w:r>
      <w:r w:rsidRPr="00EF5842">
        <w:t>ifferences Panel Regression Results</w:t>
      </w:r>
      <w:r w:rsidR="00EF5842" w:rsidRPr="00EF5842">
        <w:br/>
      </w:r>
      <w:r w:rsidRPr="00EF5842">
        <w:t xml:space="preserve">Pacific Gas &amp; Electric 2012 Average Weekday Event </w:t>
      </w:r>
    </w:p>
    <w:tbl>
      <w:tblPr>
        <w:tblW w:w="8920" w:type="dxa"/>
        <w:tblInd w:w="95" w:type="dxa"/>
        <w:tblLook w:val="04A0" w:firstRow="1" w:lastRow="0" w:firstColumn="1" w:lastColumn="0" w:noHBand="0" w:noVBand="1"/>
      </w:tblPr>
      <w:tblGrid>
        <w:gridCol w:w="1340"/>
        <w:gridCol w:w="1060"/>
        <w:gridCol w:w="1083"/>
        <w:gridCol w:w="1060"/>
        <w:gridCol w:w="1060"/>
        <w:gridCol w:w="1060"/>
        <w:gridCol w:w="1060"/>
        <w:gridCol w:w="1220"/>
      </w:tblGrid>
      <w:tr w:rsidR="003762BD" w:rsidRPr="001D7B17" w:rsidTr="00A97AA9">
        <w:trPr>
          <w:trHeight w:val="576"/>
        </w:trPr>
        <w:tc>
          <w:tcPr>
            <w:tcW w:w="1340" w:type="dxa"/>
            <w:tcBorders>
              <w:top w:val="single" w:sz="4" w:space="0" w:color="000000"/>
              <w:left w:val="single" w:sz="4" w:space="0" w:color="000000"/>
              <w:bottom w:val="nil"/>
              <w:right w:val="single" w:sz="4" w:space="0" w:color="FFFFFF"/>
            </w:tcBorders>
            <w:shd w:val="clear" w:color="000000" w:fill="1F497D" w:themeFill="text2"/>
            <w:vAlign w:val="center"/>
            <w:hideMark/>
          </w:tcPr>
          <w:p w:rsidR="003762BD" w:rsidRPr="00EF5842" w:rsidRDefault="003762BD" w:rsidP="00EF5842">
            <w:pPr>
              <w:pStyle w:val="TableHeader"/>
            </w:pPr>
            <w:r w:rsidRPr="00EF5842">
              <w:t>Hour Ending</w:t>
            </w:r>
          </w:p>
        </w:tc>
        <w:tc>
          <w:tcPr>
            <w:tcW w:w="1060" w:type="dxa"/>
            <w:tcBorders>
              <w:top w:val="single" w:sz="4" w:space="0" w:color="000000"/>
              <w:left w:val="nil"/>
              <w:bottom w:val="nil"/>
              <w:right w:val="single" w:sz="4" w:space="0" w:color="FFFFFF"/>
            </w:tcBorders>
            <w:shd w:val="clear" w:color="000000" w:fill="1F497D" w:themeFill="text2"/>
            <w:vAlign w:val="center"/>
            <w:hideMark/>
          </w:tcPr>
          <w:p w:rsidR="003762BD" w:rsidRPr="00EF5842" w:rsidRDefault="003762BD" w:rsidP="00EF5842">
            <w:pPr>
              <w:pStyle w:val="TableHeader"/>
            </w:pPr>
            <w:r w:rsidRPr="00EF5842">
              <w:t>Impact</w:t>
            </w:r>
          </w:p>
        </w:tc>
        <w:tc>
          <w:tcPr>
            <w:tcW w:w="1060" w:type="dxa"/>
            <w:tcBorders>
              <w:top w:val="single" w:sz="4" w:space="0" w:color="000000"/>
              <w:left w:val="nil"/>
              <w:bottom w:val="nil"/>
              <w:right w:val="single" w:sz="4" w:space="0" w:color="FFFFFF"/>
            </w:tcBorders>
            <w:shd w:val="clear" w:color="000000" w:fill="1F497D" w:themeFill="text2"/>
            <w:vAlign w:val="center"/>
            <w:hideMark/>
          </w:tcPr>
          <w:p w:rsidR="003762BD" w:rsidRPr="00EF5842" w:rsidRDefault="003762BD" w:rsidP="00EF5842">
            <w:pPr>
              <w:pStyle w:val="TableHeader"/>
            </w:pPr>
            <w:r w:rsidRPr="00EF5842">
              <w:t>Standard Error</w:t>
            </w:r>
          </w:p>
        </w:tc>
        <w:tc>
          <w:tcPr>
            <w:tcW w:w="1060" w:type="dxa"/>
            <w:tcBorders>
              <w:top w:val="single" w:sz="4" w:space="0" w:color="000000"/>
              <w:left w:val="nil"/>
              <w:bottom w:val="nil"/>
              <w:right w:val="single" w:sz="4" w:space="0" w:color="FFFFFF"/>
            </w:tcBorders>
            <w:shd w:val="clear" w:color="000000" w:fill="1F497D" w:themeFill="text2"/>
            <w:vAlign w:val="center"/>
            <w:hideMark/>
          </w:tcPr>
          <w:p w:rsidR="003762BD" w:rsidRPr="00EF5842" w:rsidRDefault="003762BD" w:rsidP="00EF5842">
            <w:pPr>
              <w:pStyle w:val="TableHeader"/>
            </w:pPr>
            <w:r w:rsidRPr="00EF5842">
              <w:t>T</w:t>
            </w:r>
          </w:p>
        </w:tc>
        <w:tc>
          <w:tcPr>
            <w:tcW w:w="1060" w:type="dxa"/>
            <w:tcBorders>
              <w:top w:val="single" w:sz="4" w:space="0" w:color="000000"/>
              <w:left w:val="nil"/>
              <w:bottom w:val="nil"/>
              <w:right w:val="single" w:sz="4" w:space="0" w:color="FFFFFF"/>
            </w:tcBorders>
            <w:shd w:val="clear" w:color="000000" w:fill="1F497D" w:themeFill="text2"/>
            <w:vAlign w:val="center"/>
            <w:hideMark/>
          </w:tcPr>
          <w:p w:rsidR="003762BD" w:rsidRPr="00EF5842" w:rsidRDefault="003762BD" w:rsidP="00EF5842">
            <w:pPr>
              <w:pStyle w:val="TableHeader"/>
            </w:pPr>
            <w:r w:rsidRPr="00EF5842">
              <w:t>p. value</w:t>
            </w:r>
          </w:p>
        </w:tc>
        <w:tc>
          <w:tcPr>
            <w:tcW w:w="2120" w:type="dxa"/>
            <w:gridSpan w:val="2"/>
            <w:tcBorders>
              <w:top w:val="single" w:sz="4" w:space="0" w:color="000000"/>
              <w:left w:val="nil"/>
              <w:bottom w:val="nil"/>
              <w:right w:val="single" w:sz="4" w:space="0" w:color="FFFFFF"/>
            </w:tcBorders>
            <w:shd w:val="clear" w:color="000000" w:fill="1F497D" w:themeFill="text2"/>
            <w:vAlign w:val="center"/>
            <w:hideMark/>
          </w:tcPr>
          <w:p w:rsidR="003762BD" w:rsidRPr="00EF5842" w:rsidRDefault="003762BD" w:rsidP="00EF5842">
            <w:pPr>
              <w:pStyle w:val="TableHeader"/>
            </w:pPr>
            <w:r w:rsidRPr="00EF5842">
              <w:t>95%                    Confidence Interval</w:t>
            </w:r>
          </w:p>
        </w:tc>
        <w:tc>
          <w:tcPr>
            <w:tcW w:w="1220" w:type="dxa"/>
            <w:tcBorders>
              <w:top w:val="nil"/>
              <w:left w:val="nil"/>
              <w:bottom w:val="nil"/>
              <w:right w:val="single" w:sz="4" w:space="0" w:color="000000"/>
            </w:tcBorders>
            <w:shd w:val="clear" w:color="000000" w:fill="1F497D" w:themeFill="text2"/>
            <w:vAlign w:val="center"/>
            <w:hideMark/>
          </w:tcPr>
          <w:p w:rsidR="003762BD" w:rsidRPr="00EF5842" w:rsidRDefault="003762BD" w:rsidP="00EF5842">
            <w:pPr>
              <w:pStyle w:val="TableHeader"/>
            </w:pPr>
            <w:r w:rsidRPr="00EF5842">
              <w:t>Model            R-squared</w:t>
            </w:r>
          </w:p>
        </w:tc>
      </w:tr>
      <w:tr w:rsidR="003762BD" w:rsidRPr="001D7B17" w:rsidTr="003762BD">
        <w:trPr>
          <w:trHeight w:val="360"/>
        </w:trPr>
        <w:tc>
          <w:tcPr>
            <w:tcW w:w="13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1:00 AM</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1.48</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1.631</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0.91</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0.182</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3.44</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-0.48</w:t>
            </w:r>
          </w:p>
        </w:tc>
        <w:tc>
          <w:tcPr>
            <w:tcW w:w="1220" w:type="dxa"/>
            <w:tcBorders>
              <w:top w:val="single" w:sz="4" w:space="0" w:color="auto"/>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0.916</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2.22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1.624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1.37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0.086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4.18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0.26</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0.914</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3:00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2.15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1.584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1.36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0.087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4.11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0.19</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0.915</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4:00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0.89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1.574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0.57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0.286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2.85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-1.07</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0.920</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5:00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1.569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0.174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3.43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-0.49</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0.921</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6:00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2.22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1.588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0.081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4.18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0.26</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0.922</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7:00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2.31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1.601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0.074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4.27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0.35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0.924</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8:00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1.10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1.594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0.69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0.245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3.06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-0.86</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0.927</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9:00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0.21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1.558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0.14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0.446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2.17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-1.75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0.933</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10:00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1.597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0.488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2.01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-1.91</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0.934</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11:00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-0.65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1.639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0.39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0.347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1.32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-2.61</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0.935</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12:00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-3.22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1.628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1.98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0.024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-1.26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-5.18</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0.937</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-3.38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1.558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2.17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0.015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-5.34</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0.941</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-10.19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1.582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6.44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-8.23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-12.15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0.938</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3:00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-23.66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1.593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14.85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-21.70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-25.62</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0.932</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4:00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-24.05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1.508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15.95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-22.09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-26.01</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0.937</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5:00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-21.18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1.415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14.97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-19.22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-23.14</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0.943</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6:00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-19.52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1.390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14.04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-17.56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-21.48</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0.941</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7:00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-9.84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1.445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6.81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-7.88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-11.80</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0.936</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8:00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-4.47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1.487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3.01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0.001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-2.51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-6.43</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0.934</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9:00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-2.60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1.465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1.77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0.038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-0.64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-4.56</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0.936</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10:00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-2.87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1.472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1.95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0.026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-4.83</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0.932</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11:00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-2.07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1.448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0.077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-0.11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-4.03</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0.934</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12:00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-1.63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1.449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1.12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0.131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0.33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-3.59</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EF5842" w:rsidRDefault="003762BD" w:rsidP="00EF5842">
            <w:pPr>
              <w:pStyle w:val="TableText"/>
            </w:pPr>
            <w:r w:rsidRPr="00EF5842">
              <w:t>0.934</w:t>
            </w:r>
          </w:p>
        </w:tc>
      </w:tr>
    </w:tbl>
    <w:p w:rsidR="003762BD" w:rsidRDefault="003762BD" w:rsidP="003762BD"/>
    <w:p w:rsidR="003762BD" w:rsidRDefault="003762BD" w:rsidP="003762BD">
      <w:pPr>
        <w:pStyle w:val="TableFigureCaption"/>
        <w:spacing w:after="0"/>
      </w:pPr>
      <w:r>
        <w:br w:type="column"/>
      </w:r>
      <w:r w:rsidRPr="001D7B17">
        <w:lastRenderedPageBreak/>
        <w:t xml:space="preserve">Table </w:t>
      </w:r>
      <w:r>
        <w:t>A</w:t>
      </w:r>
      <w:r w:rsidRPr="001D7B17">
        <w:t>-</w:t>
      </w:r>
      <w:r>
        <w:t>2</w:t>
      </w:r>
      <w:r w:rsidRPr="001D7B17">
        <w:t>:</w:t>
      </w:r>
      <w:r>
        <w:t xml:space="preserve"> Simple </w:t>
      </w:r>
      <w:r w:rsidRPr="001D7B17">
        <w:t>Difference-in-</w:t>
      </w:r>
      <w:r w:rsidR="00CA470C">
        <w:t>d</w:t>
      </w:r>
      <w:r w:rsidRPr="001D7B17">
        <w:t>ifference</w:t>
      </w:r>
      <w:r>
        <w:t>s</w:t>
      </w:r>
      <w:r w:rsidRPr="001D7B17">
        <w:t xml:space="preserve"> Panel Regression Results</w:t>
      </w:r>
    </w:p>
    <w:p w:rsidR="003762BD" w:rsidRDefault="003762BD" w:rsidP="003762BD">
      <w:pPr>
        <w:pStyle w:val="TableFigureCaption"/>
      </w:pPr>
      <w:r>
        <w:t>San Diego Gas &amp; Electric 2012 Average Weekday Event</w:t>
      </w:r>
    </w:p>
    <w:tbl>
      <w:tblPr>
        <w:tblW w:w="8920" w:type="dxa"/>
        <w:tblInd w:w="96" w:type="dxa"/>
        <w:tblLook w:val="04A0" w:firstRow="1" w:lastRow="0" w:firstColumn="1" w:lastColumn="0" w:noHBand="0" w:noVBand="1"/>
      </w:tblPr>
      <w:tblGrid>
        <w:gridCol w:w="1340"/>
        <w:gridCol w:w="1060"/>
        <w:gridCol w:w="1083"/>
        <w:gridCol w:w="1060"/>
        <w:gridCol w:w="1060"/>
        <w:gridCol w:w="1060"/>
        <w:gridCol w:w="1060"/>
        <w:gridCol w:w="1220"/>
      </w:tblGrid>
      <w:tr w:rsidR="003762BD" w:rsidRPr="001D7B17" w:rsidTr="00A97AA9">
        <w:trPr>
          <w:trHeight w:val="576"/>
        </w:trPr>
        <w:tc>
          <w:tcPr>
            <w:tcW w:w="1340" w:type="dxa"/>
            <w:tcBorders>
              <w:top w:val="single" w:sz="4" w:space="0" w:color="000000"/>
              <w:left w:val="single" w:sz="4" w:space="0" w:color="000000"/>
              <w:bottom w:val="nil"/>
              <w:right w:val="single" w:sz="4" w:space="0" w:color="FFFFFF"/>
            </w:tcBorders>
            <w:shd w:val="clear" w:color="000000" w:fill="1F497D" w:themeFill="text2"/>
            <w:vAlign w:val="center"/>
            <w:hideMark/>
          </w:tcPr>
          <w:p w:rsidR="003762BD" w:rsidRPr="001D7B17" w:rsidRDefault="003762BD" w:rsidP="003762BD">
            <w:pPr>
              <w:pStyle w:val="TableHeader"/>
            </w:pPr>
            <w:r w:rsidRPr="001D7B17">
              <w:t>Hour Ending</w:t>
            </w:r>
          </w:p>
        </w:tc>
        <w:tc>
          <w:tcPr>
            <w:tcW w:w="1060" w:type="dxa"/>
            <w:tcBorders>
              <w:top w:val="single" w:sz="4" w:space="0" w:color="000000"/>
              <w:left w:val="nil"/>
              <w:bottom w:val="nil"/>
              <w:right w:val="single" w:sz="4" w:space="0" w:color="FFFFFF"/>
            </w:tcBorders>
            <w:shd w:val="clear" w:color="000000" w:fill="1F497D" w:themeFill="text2"/>
            <w:vAlign w:val="center"/>
            <w:hideMark/>
          </w:tcPr>
          <w:p w:rsidR="003762BD" w:rsidRPr="001D7B17" w:rsidRDefault="003762BD" w:rsidP="003762BD">
            <w:pPr>
              <w:pStyle w:val="TableHeader"/>
            </w:pPr>
            <w:r w:rsidRPr="001D7B17">
              <w:t>Impact</w:t>
            </w:r>
          </w:p>
        </w:tc>
        <w:tc>
          <w:tcPr>
            <w:tcW w:w="1060" w:type="dxa"/>
            <w:tcBorders>
              <w:top w:val="single" w:sz="4" w:space="0" w:color="000000"/>
              <w:left w:val="nil"/>
              <w:bottom w:val="nil"/>
              <w:right w:val="single" w:sz="4" w:space="0" w:color="FFFFFF"/>
            </w:tcBorders>
            <w:shd w:val="clear" w:color="000000" w:fill="1F497D" w:themeFill="text2"/>
            <w:vAlign w:val="center"/>
            <w:hideMark/>
          </w:tcPr>
          <w:p w:rsidR="003762BD" w:rsidRPr="001D7B17" w:rsidRDefault="003762BD" w:rsidP="003762BD">
            <w:pPr>
              <w:pStyle w:val="TableHeader"/>
            </w:pPr>
            <w:r w:rsidRPr="001D7B17">
              <w:t>Standard Error</w:t>
            </w:r>
          </w:p>
        </w:tc>
        <w:tc>
          <w:tcPr>
            <w:tcW w:w="1060" w:type="dxa"/>
            <w:tcBorders>
              <w:top w:val="single" w:sz="4" w:space="0" w:color="000000"/>
              <w:left w:val="nil"/>
              <w:bottom w:val="nil"/>
              <w:right w:val="single" w:sz="4" w:space="0" w:color="FFFFFF"/>
            </w:tcBorders>
            <w:shd w:val="clear" w:color="000000" w:fill="1F497D" w:themeFill="text2"/>
            <w:vAlign w:val="center"/>
            <w:hideMark/>
          </w:tcPr>
          <w:p w:rsidR="003762BD" w:rsidRPr="001D7B17" w:rsidRDefault="003762BD" w:rsidP="003762BD">
            <w:pPr>
              <w:pStyle w:val="TableHeader"/>
            </w:pPr>
            <w:r w:rsidRPr="001D7B17">
              <w:t>t</w:t>
            </w:r>
          </w:p>
        </w:tc>
        <w:tc>
          <w:tcPr>
            <w:tcW w:w="1060" w:type="dxa"/>
            <w:tcBorders>
              <w:top w:val="single" w:sz="4" w:space="0" w:color="000000"/>
              <w:left w:val="nil"/>
              <w:bottom w:val="nil"/>
              <w:right w:val="single" w:sz="4" w:space="0" w:color="FFFFFF"/>
            </w:tcBorders>
            <w:shd w:val="clear" w:color="000000" w:fill="1F497D" w:themeFill="text2"/>
            <w:vAlign w:val="center"/>
            <w:hideMark/>
          </w:tcPr>
          <w:p w:rsidR="003762BD" w:rsidRPr="001D7B17" w:rsidRDefault="003762BD" w:rsidP="003762BD">
            <w:pPr>
              <w:pStyle w:val="TableHeader"/>
            </w:pPr>
            <w:r w:rsidRPr="001D7B17">
              <w:t>p. value</w:t>
            </w:r>
          </w:p>
        </w:tc>
        <w:tc>
          <w:tcPr>
            <w:tcW w:w="2120" w:type="dxa"/>
            <w:gridSpan w:val="2"/>
            <w:tcBorders>
              <w:top w:val="single" w:sz="4" w:space="0" w:color="000000"/>
              <w:left w:val="nil"/>
              <w:bottom w:val="nil"/>
              <w:right w:val="single" w:sz="4" w:space="0" w:color="FFFFFF"/>
            </w:tcBorders>
            <w:shd w:val="clear" w:color="000000" w:fill="1F497D" w:themeFill="text2"/>
            <w:vAlign w:val="center"/>
            <w:hideMark/>
          </w:tcPr>
          <w:p w:rsidR="003762BD" w:rsidRPr="001D7B17" w:rsidRDefault="003762BD" w:rsidP="003762BD">
            <w:pPr>
              <w:pStyle w:val="TableHeader"/>
            </w:pPr>
            <w:r w:rsidRPr="001D7B17">
              <w:t>95%                    Confidence Interval</w:t>
            </w:r>
          </w:p>
        </w:tc>
        <w:tc>
          <w:tcPr>
            <w:tcW w:w="1220" w:type="dxa"/>
            <w:tcBorders>
              <w:top w:val="nil"/>
              <w:left w:val="nil"/>
              <w:bottom w:val="nil"/>
              <w:right w:val="single" w:sz="4" w:space="0" w:color="000000"/>
            </w:tcBorders>
            <w:shd w:val="clear" w:color="000000" w:fill="1F497D" w:themeFill="text2"/>
            <w:vAlign w:val="center"/>
            <w:hideMark/>
          </w:tcPr>
          <w:p w:rsidR="003762BD" w:rsidRPr="001D7B17" w:rsidRDefault="003762BD" w:rsidP="003762BD">
            <w:pPr>
              <w:pStyle w:val="TableHeader"/>
            </w:pPr>
            <w:r w:rsidRPr="001D7B17">
              <w:t>Model            R-squared</w:t>
            </w:r>
          </w:p>
        </w:tc>
      </w:tr>
      <w:tr w:rsidR="003762BD" w:rsidRPr="001D7B17" w:rsidTr="003762BD">
        <w:trPr>
          <w:trHeight w:val="360"/>
        </w:trPr>
        <w:tc>
          <w:tcPr>
            <w:tcW w:w="13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1:00 AM</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-1.49</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1.539</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0.97</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0.166</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0.47</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-3.45</w:t>
            </w:r>
          </w:p>
        </w:tc>
        <w:tc>
          <w:tcPr>
            <w:tcW w:w="122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0.960</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0.32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1.519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0.21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0.416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2.28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-1.64</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0.961</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1.494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0.54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0.295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2.77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-1.15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0.960</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-1.33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1.442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0.178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0.63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-3.29</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0.961</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5:00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-0.23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1.463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0.16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0.438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1.73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-2.19</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0.962</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6:00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1.73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1.544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1.12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0.131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3.69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-0.23</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0.960</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7:00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5.40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1.795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3.01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7.36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3.44</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0.955</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8:00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3.65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1.801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0.021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5.61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1.69</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0.954</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9:00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3.14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1.860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1.69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0.046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5.10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1.18</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0.953</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1.50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1.915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0.78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0.216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3.46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-0.46</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0.953</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11:00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-4.58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1.876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2.44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-2.62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-6.54</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0.954</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12:00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-18.49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2.030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9.11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-16.53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-20.45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0.946</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-18.77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2.001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9.38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-16.81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-20.73</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0.949</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-16.19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2.009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8.06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-14.23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-18.15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0.950</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-15.15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2.007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7.55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-13.19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-17.11</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0.951</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-15.17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1.987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7.64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-13.21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-17.13</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0.951</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5:00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-16.69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1.905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8.76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-14.73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-18.65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0.953</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6:00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-12.89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1.707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7.55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-10.93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-14.85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0.960</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7:00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-3.80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1.677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2.27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0.012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-1.84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-5.76</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0.956</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8:00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1.24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1.642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0.75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0.225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3.20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-0.72</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0.958</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9:00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0.21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1.437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0.15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0.442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2.17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-1.75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0.967</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1.325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0.61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0.271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2.77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-1.15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0.971</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11:00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2.32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1.324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1.75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0.040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4.28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0.36</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0.969</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12:00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1.92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1.433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1.34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0.090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3.88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-0.04</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0.964</w:t>
            </w:r>
          </w:p>
        </w:tc>
      </w:tr>
    </w:tbl>
    <w:p w:rsidR="003762BD" w:rsidRDefault="003762BD" w:rsidP="003762BD"/>
    <w:p w:rsidR="003762BD" w:rsidRDefault="003762BD" w:rsidP="003762BD">
      <w:pPr>
        <w:pStyle w:val="TableFigureCaption"/>
        <w:spacing w:before="240" w:after="0"/>
      </w:pPr>
      <w:r>
        <w:br w:type="column"/>
      </w:r>
      <w:r w:rsidRPr="001D7B17">
        <w:lastRenderedPageBreak/>
        <w:t xml:space="preserve">Table </w:t>
      </w:r>
      <w:r>
        <w:t>A-3</w:t>
      </w:r>
      <w:r w:rsidRPr="001D7B17">
        <w:t>:</w:t>
      </w:r>
      <w:r>
        <w:t xml:space="preserve"> Simple </w:t>
      </w:r>
      <w:r w:rsidRPr="001D7B17">
        <w:t>Difference-in-</w:t>
      </w:r>
      <w:r w:rsidR="00CA470C">
        <w:t>d</w:t>
      </w:r>
      <w:r w:rsidRPr="001D7B17">
        <w:t>ifference</w:t>
      </w:r>
      <w:r>
        <w:t>s</w:t>
      </w:r>
      <w:r w:rsidRPr="001D7B17">
        <w:t xml:space="preserve"> Panel Regression Results</w:t>
      </w:r>
    </w:p>
    <w:p w:rsidR="003762BD" w:rsidRDefault="003762BD" w:rsidP="003762BD">
      <w:pPr>
        <w:pStyle w:val="TableFigureCaption"/>
      </w:pPr>
      <w:r>
        <w:t>Southern California Edison 2012 Average Weekday Event</w:t>
      </w:r>
    </w:p>
    <w:tbl>
      <w:tblPr>
        <w:tblW w:w="8920" w:type="dxa"/>
        <w:tblInd w:w="96" w:type="dxa"/>
        <w:tblLook w:val="04A0" w:firstRow="1" w:lastRow="0" w:firstColumn="1" w:lastColumn="0" w:noHBand="0" w:noVBand="1"/>
      </w:tblPr>
      <w:tblGrid>
        <w:gridCol w:w="1340"/>
        <w:gridCol w:w="1060"/>
        <w:gridCol w:w="1083"/>
        <w:gridCol w:w="1060"/>
        <w:gridCol w:w="1060"/>
        <w:gridCol w:w="1060"/>
        <w:gridCol w:w="1060"/>
        <w:gridCol w:w="1220"/>
      </w:tblGrid>
      <w:tr w:rsidR="003762BD" w:rsidRPr="001D7B17" w:rsidTr="00A97AA9">
        <w:trPr>
          <w:trHeight w:val="576"/>
        </w:trPr>
        <w:tc>
          <w:tcPr>
            <w:tcW w:w="1340" w:type="dxa"/>
            <w:tcBorders>
              <w:top w:val="single" w:sz="4" w:space="0" w:color="000000"/>
              <w:left w:val="single" w:sz="4" w:space="0" w:color="000000"/>
              <w:bottom w:val="nil"/>
              <w:right w:val="single" w:sz="4" w:space="0" w:color="FFFFFF"/>
            </w:tcBorders>
            <w:shd w:val="clear" w:color="000000" w:fill="1F497D" w:themeFill="text2"/>
            <w:vAlign w:val="center"/>
            <w:hideMark/>
          </w:tcPr>
          <w:p w:rsidR="003762BD" w:rsidRPr="001D7B17" w:rsidRDefault="003762BD" w:rsidP="003762BD">
            <w:pPr>
              <w:pStyle w:val="TableHeader"/>
            </w:pPr>
            <w:r w:rsidRPr="001D7B17">
              <w:t>Hour Ending</w:t>
            </w:r>
          </w:p>
        </w:tc>
        <w:tc>
          <w:tcPr>
            <w:tcW w:w="1060" w:type="dxa"/>
            <w:tcBorders>
              <w:top w:val="single" w:sz="4" w:space="0" w:color="000000"/>
              <w:left w:val="nil"/>
              <w:bottom w:val="nil"/>
              <w:right w:val="single" w:sz="4" w:space="0" w:color="FFFFFF"/>
            </w:tcBorders>
            <w:shd w:val="clear" w:color="000000" w:fill="1F497D" w:themeFill="text2"/>
            <w:vAlign w:val="center"/>
            <w:hideMark/>
          </w:tcPr>
          <w:p w:rsidR="003762BD" w:rsidRPr="001D7B17" w:rsidRDefault="003762BD" w:rsidP="003762BD">
            <w:pPr>
              <w:pStyle w:val="TableHeader"/>
            </w:pPr>
            <w:r w:rsidRPr="001D7B17">
              <w:t>Impact</w:t>
            </w:r>
          </w:p>
        </w:tc>
        <w:tc>
          <w:tcPr>
            <w:tcW w:w="1060" w:type="dxa"/>
            <w:tcBorders>
              <w:top w:val="single" w:sz="4" w:space="0" w:color="000000"/>
              <w:left w:val="nil"/>
              <w:bottom w:val="nil"/>
              <w:right w:val="single" w:sz="4" w:space="0" w:color="FFFFFF"/>
            </w:tcBorders>
            <w:shd w:val="clear" w:color="000000" w:fill="1F497D" w:themeFill="text2"/>
            <w:vAlign w:val="center"/>
            <w:hideMark/>
          </w:tcPr>
          <w:p w:rsidR="003762BD" w:rsidRPr="001D7B17" w:rsidRDefault="003762BD" w:rsidP="003762BD">
            <w:pPr>
              <w:pStyle w:val="TableHeader"/>
            </w:pPr>
            <w:r w:rsidRPr="001D7B17">
              <w:t>Standard Error</w:t>
            </w:r>
          </w:p>
        </w:tc>
        <w:tc>
          <w:tcPr>
            <w:tcW w:w="1060" w:type="dxa"/>
            <w:tcBorders>
              <w:top w:val="single" w:sz="4" w:space="0" w:color="000000"/>
              <w:left w:val="nil"/>
              <w:bottom w:val="nil"/>
              <w:right w:val="single" w:sz="4" w:space="0" w:color="FFFFFF"/>
            </w:tcBorders>
            <w:shd w:val="clear" w:color="000000" w:fill="1F497D" w:themeFill="text2"/>
            <w:vAlign w:val="center"/>
            <w:hideMark/>
          </w:tcPr>
          <w:p w:rsidR="003762BD" w:rsidRPr="001D7B17" w:rsidRDefault="003762BD" w:rsidP="003762BD">
            <w:pPr>
              <w:pStyle w:val="TableHeader"/>
            </w:pPr>
            <w:r w:rsidRPr="001D7B17">
              <w:t>t</w:t>
            </w:r>
          </w:p>
        </w:tc>
        <w:tc>
          <w:tcPr>
            <w:tcW w:w="1060" w:type="dxa"/>
            <w:tcBorders>
              <w:top w:val="single" w:sz="4" w:space="0" w:color="000000"/>
              <w:left w:val="nil"/>
              <w:bottom w:val="nil"/>
              <w:right w:val="single" w:sz="4" w:space="0" w:color="FFFFFF"/>
            </w:tcBorders>
            <w:shd w:val="clear" w:color="000000" w:fill="1F497D" w:themeFill="text2"/>
            <w:vAlign w:val="center"/>
            <w:hideMark/>
          </w:tcPr>
          <w:p w:rsidR="003762BD" w:rsidRPr="001D7B17" w:rsidRDefault="003762BD" w:rsidP="003762BD">
            <w:pPr>
              <w:pStyle w:val="TableHeader"/>
            </w:pPr>
            <w:r w:rsidRPr="001D7B17">
              <w:t>p. value</w:t>
            </w:r>
          </w:p>
        </w:tc>
        <w:tc>
          <w:tcPr>
            <w:tcW w:w="2120" w:type="dxa"/>
            <w:gridSpan w:val="2"/>
            <w:tcBorders>
              <w:top w:val="single" w:sz="4" w:space="0" w:color="000000"/>
              <w:left w:val="nil"/>
              <w:bottom w:val="nil"/>
              <w:right w:val="single" w:sz="4" w:space="0" w:color="FFFFFF"/>
            </w:tcBorders>
            <w:shd w:val="clear" w:color="000000" w:fill="1F497D" w:themeFill="text2"/>
            <w:vAlign w:val="center"/>
            <w:hideMark/>
          </w:tcPr>
          <w:p w:rsidR="003762BD" w:rsidRPr="001D7B17" w:rsidRDefault="003762BD" w:rsidP="003762BD">
            <w:pPr>
              <w:pStyle w:val="TableHeader"/>
            </w:pPr>
            <w:r w:rsidRPr="001D7B17">
              <w:t>95%                    Confidence Interval</w:t>
            </w:r>
          </w:p>
        </w:tc>
        <w:tc>
          <w:tcPr>
            <w:tcW w:w="1220" w:type="dxa"/>
            <w:tcBorders>
              <w:top w:val="nil"/>
              <w:left w:val="nil"/>
              <w:bottom w:val="nil"/>
              <w:right w:val="single" w:sz="4" w:space="0" w:color="000000"/>
            </w:tcBorders>
            <w:shd w:val="clear" w:color="000000" w:fill="1F497D" w:themeFill="text2"/>
            <w:vAlign w:val="center"/>
            <w:hideMark/>
          </w:tcPr>
          <w:p w:rsidR="003762BD" w:rsidRPr="001D7B17" w:rsidRDefault="003762BD" w:rsidP="003762BD">
            <w:pPr>
              <w:pStyle w:val="TableHeader"/>
            </w:pPr>
            <w:r w:rsidRPr="001D7B17">
              <w:t>Model            R-squared</w:t>
            </w:r>
          </w:p>
        </w:tc>
      </w:tr>
      <w:tr w:rsidR="003762BD" w:rsidRPr="001D7B17" w:rsidTr="003762BD">
        <w:trPr>
          <w:trHeight w:val="360"/>
        </w:trPr>
        <w:tc>
          <w:tcPr>
            <w:tcW w:w="13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1:00 AM</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0.50</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0.967</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0.52</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0.302</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2.46</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-1.46</w:t>
            </w:r>
          </w:p>
        </w:tc>
        <w:tc>
          <w:tcPr>
            <w:tcW w:w="1220" w:type="dxa"/>
            <w:tcBorders>
              <w:top w:val="single" w:sz="4" w:space="0" w:color="auto"/>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0.898</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0.46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1.018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0.45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0.327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2.42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-1.51</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0.888</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0.28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1.028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0.27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0.393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2.24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-1.68</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0.882</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1.027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1.38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0.084</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3.37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-0.55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0.880</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5:00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1.36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1.023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1.33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0.092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3.32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-0.60</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0.884</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6:00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2.11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1.030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0.020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4.07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0.15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0.891</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7:00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2.40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1.066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2.25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0.012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4.36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0.44</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0.887</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8:00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2.39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1.072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2.23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0.013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4.35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0.43</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0.885</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9:00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1.99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1.063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1.87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0.031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3.95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0.03</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0.889</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2.10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1.019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0.020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4.06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0.14</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0.903</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11:00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2.31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0.983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2.35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4.27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0.35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0.913</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12:00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2.33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0.939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2.48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4.29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0.37</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0.919</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2.32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0.927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2.50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4.28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0.36</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0.921</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-2.39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0.929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2.57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-0.43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-4.34</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0.921</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-13.62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0.940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14.49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-11.66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-15.58</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0.912</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4:00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-13.49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0.865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15.59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-11.53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-15.45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0.921</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5:00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-12.57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0.820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15.32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-10.61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-14.53</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0.926</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6:00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-12.07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0.809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14.92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-10.11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-14.03</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0.924</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7:00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-3.39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0.978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3.47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-1.43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-5.35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0.898</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8:00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1.069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0.482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1.91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-2.01</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0.892</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9:00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0.16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1.062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0.16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0.439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2.12</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-1.80</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0.897</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1.09</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1.058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0.151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3.05</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-0.87</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0.894</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11:00 PM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1.006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1.00</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0.158</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2.97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-0.95</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0.898</w:t>
            </w:r>
          </w:p>
        </w:tc>
      </w:tr>
      <w:tr w:rsidR="003762BD" w:rsidRPr="001D7B17" w:rsidTr="003762BD">
        <w:trPr>
          <w:trHeight w:val="360"/>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12:00 AM</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1.57</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1.043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1.51</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0.066</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3.53</w:t>
            </w:r>
          </w:p>
        </w:tc>
        <w:tc>
          <w:tcPr>
            <w:tcW w:w="106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-0.39</w:t>
            </w:r>
          </w:p>
        </w:tc>
        <w:tc>
          <w:tcPr>
            <w:tcW w:w="1220" w:type="dxa"/>
            <w:tcBorders>
              <w:top w:val="nil"/>
              <w:left w:val="nil"/>
              <w:bottom w:val="single" w:sz="4" w:space="0" w:color="auto"/>
              <w:right w:val="single" w:sz="4" w:space="0" w:color="auto"/>
            </w:tcBorders>
            <w:shd w:val="clear" w:color="auto" w:fill="auto"/>
            <w:noWrap/>
            <w:vAlign w:val="center"/>
            <w:hideMark/>
          </w:tcPr>
          <w:p w:rsidR="003762BD" w:rsidRPr="001D7B17" w:rsidRDefault="003762BD" w:rsidP="003762BD">
            <w:pPr>
              <w:pStyle w:val="TableText"/>
            </w:pPr>
            <w:r w:rsidRPr="001D7B17">
              <w:t>0.893</w:t>
            </w:r>
          </w:p>
        </w:tc>
      </w:tr>
    </w:tbl>
    <w:p w:rsidR="003762BD" w:rsidRDefault="003762BD" w:rsidP="003762BD"/>
    <w:p w:rsidR="003762BD" w:rsidRDefault="003762BD" w:rsidP="003762BD">
      <w:pPr>
        <w:rPr>
          <w:rFonts w:ascii="Verdana" w:eastAsia="Times New Roman" w:hAnsi="Verdana" w:cs="Times New Roman"/>
          <w:b/>
          <w:color w:val="403152" w:themeColor="accent4" w:themeShade="80"/>
          <w:sz w:val="28"/>
          <w:szCs w:val="28"/>
        </w:rPr>
      </w:pPr>
      <w:r>
        <w:br w:type="page"/>
      </w:r>
    </w:p>
    <w:p w:rsidR="003762BD" w:rsidRDefault="003762BD" w:rsidP="00EF5842">
      <w:pPr>
        <w:pStyle w:val="AppendixHeading"/>
      </w:pPr>
      <w:bookmarkStart w:id="220" w:name="_Toc347226687"/>
      <w:bookmarkStart w:id="221" w:name="_Toc352323670"/>
      <w:r>
        <w:lastRenderedPageBreak/>
        <w:t>False Experiment Proxy Event Days</w:t>
      </w:r>
      <w:bookmarkEnd w:id="220"/>
      <w:bookmarkEnd w:id="221"/>
    </w:p>
    <w:p w:rsidR="003762BD" w:rsidRDefault="003762BD" w:rsidP="003762BD">
      <w:pPr>
        <w:pStyle w:val="BodyBeforeBullet"/>
      </w:pPr>
      <w:r>
        <w:t xml:space="preserve">The false experiment proxy days were matched to the pseudo-events using the same matching process employed in the ex post evaluation.  In the false experiment, impacts for the pseudo-events </w:t>
      </w:r>
      <w:r w:rsidR="006722FF">
        <w:t xml:space="preserve">are estimated </w:t>
      </w:r>
      <w:r>
        <w:t>by:</w:t>
      </w:r>
    </w:p>
    <w:p w:rsidR="003762BD" w:rsidRDefault="003762BD" w:rsidP="003762BD">
      <w:pPr>
        <w:pStyle w:val="Bullets"/>
      </w:pPr>
      <w:r>
        <w:t>Estimating the difference between the treatment and control group on the pseudo-event days;</w:t>
      </w:r>
    </w:p>
    <w:p w:rsidR="003762BD" w:rsidRDefault="003762BD" w:rsidP="003762BD">
      <w:pPr>
        <w:pStyle w:val="Bullets"/>
      </w:pPr>
      <w:r>
        <w:t>Estimating the difference between the treatment and control group on the false experiment proxy event days.  The proxy days can be thought of as control days used to assess error when the CPP high prices are not in effect; and</w:t>
      </w:r>
    </w:p>
    <w:p w:rsidR="003762BD" w:rsidRDefault="003762BD" w:rsidP="003762BD">
      <w:pPr>
        <w:pStyle w:val="BulletLast"/>
      </w:pPr>
      <w:r>
        <w:t>Netting out the error observed on the proxy event days.</w:t>
      </w:r>
    </w:p>
    <w:p w:rsidR="003762BD" w:rsidRDefault="003762BD" w:rsidP="003762BD">
      <w:pPr>
        <w:pStyle w:val="BodyParagraph"/>
      </w:pPr>
      <w:r>
        <w:t xml:space="preserve">The process </w:t>
      </w:r>
      <w:r w:rsidRPr="00615D10">
        <w:t>was</w:t>
      </w:r>
      <w:r>
        <w:t xml:space="preserve"> implemented using the regression models described in Appendix A.  Figure B-1 compares the false experiment proxy days to the pseudo-events.</w:t>
      </w:r>
    </w:p>
    <w:p w:rsidR="003762BD" w:rsidRDefault="003762BD" w:rsidP="003762BD">
      <w:pPr>
        <w:pStyle w:val="TableFigureCaption"/>
        <w:spacing w:after="0"/>
      </w:pPr>
      <w:r>
        <w:t>Figure B-1</w:t>
      </w:r>
      <w:r w:rsidRPr="001D7B17">
        <w:t>:</w:t>
      </w:r>
      <w:r w:rsidR="00EF5842">
        <w:t xml:space="preserve"> </w:t>
      </w:r>
      <w:r>
        <w:t>Comparison of Proxy Days for False Experiment</w:t>
      </w:r>
    </w:p>
    <w:p w:rsidR="003762BD" w:rsidRPr="008C35CE" w:rsidRDefault="003762BD" w:rsidP="00EF5842">
      <w:pPr>
        <w:pStyle w:val="BodyParagraph"/>
        <w:jc w:val="center"/>
      </w:pPr>
      <w:r>
        <w:rPr>
          <w:noProof/>
        </w:rPr>
        <w:drawing>
          <wp:inline distT="0" distB="0" distL="0" distR="0" wp14:anchorId="64880C34" wp14:editId="52491E67">
            <wp:extent cx="5943600" cy="3009495"/>
            <wp:effectExtent l="0" t="0" r="0" b="0"/>
            <wp:docPr id="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srcRect/>
                    <a:stretch>
                      <a:fillRect/>
                    </a:stretch>
                  </pic:blipFill>
                  <pic:spPr bwMode="auto">
                    <a:xfrm>
                      <a:off x="0" y="0"/>
                      <a:ext cx="5943600" cy="3009495"/>
                    </a:xfrm>
                    <a:prstGeom prst="rect">
                      <a:avLst/>
                    </a:prstGeom>
                    <a:noFill/>
                    <a:ln w="9525">
                      <a:noFill/>
                      <a:miter lim="800000"/>
                      <a:headEnd/>
                      <a:tailEnd/>
                    </a:ln>
                  </pic:spPr>
                </pic:pic>
              </a:graphicData>
            </a:graphic>
          </wp:inline>
        </w:drawing>
      </w:r>
    </w:p>
    <w:p w:rsidR="00910EB3" w:rsidRDefault="00910EB3">
      <w:pPr>
        <w:rPr>
          <w:rFonts w:ascii="Verdana" w:eastAsia="Times New Roman" w:hAnsi="Verdana" w:cs="Times New Roman"/>
          <w:b/>
          <w:color w:val="403152" w:themeColor="accent4" w:themeShade="80"/>
          <w:sz w:val="18"/>
          <w:szCs w:val="28"/>
        </w:rPr>
      </w:pPr>
      <w:r>
        <w:rPr>
          <w:sz w:val="18"/>
        </w:rPr>
        <w:br w:type="page"/>
      </w:r>
    </w:p>
    <w:p w:rsidR="00320D15" w:rsidRDefault="00320D15" w:rsidP="00A61B6E">
      <w:pPr>
        <w:pStyle w:val="AppendixHeading"/>
      </w:pPr>
      <w:bookmarkStart w:id="222" w:name="_Toc352323671"/>
      <w:r w:rsidRPr="00A61B6E">
        <w:lastRenderedPageBreak/>
        <w:t>Individual</w:t>
      </w:r>
      <w:r>
        <w:t xml:space="preserve"> </w:t>
      </w:r>
      <w:r w:rsidR="00A61B6E">
        <w:t xml:space="preserve">Customer </w:t>
      </w:r>
      <w:r>
        <w:t>Regression Models</w:t>
      </w:r>
      <w:bookmarkEnd w:id="222"/>
      <w:r>
        <w:t xml:space="preserve"> </w:t>
      </w:r>
    </w:p>
    <w:p w:rsidR="00A61B6E" w:rsidRDefault="00A61B6E" w:rsidP="00A61B6E">
      <w:pPr>
        <w:pStyle w:val="BodyParagraph"/>
      </w:pPr>
      <w:r>
        <w:t xml:space="preserve">To calculate load reductions for demand response programs, customers’ load patterns in the absence of event day higher prices – the reference load – must be estimated.  Reference loads can be estimated using pre-enrollment data, by observing differences in behavior during event and non-event days (i.e., a </w:t>
      </w:r>
      <w:r>
        <w:rPr>
          <w:i/>
        </w:rPr>
        <w:t>within</w:t>
      </w:r>
      <w:r w:rsidR="002F60B8">
        <w:rPr>
          <w:i/>
        </w:rPr>
        <w:t>-</w:t>
      </w:r>
      <w:r>
        <w:rPr>
          <w:i/>
        </w:rPr>
        <w:t>subjects</w:t>
      </w:r>
      <w:r>
        <w:t xml:space="preserve"> design), by using an external control group (a </w:t>
      </w:r>
      <w:r>
        <w:rPr>
          <w:i/>
        </w:rPr>
        <w:t>between</w:t>
      </w:r>
      <w:r w:rsidR="002F60B8">
        <w:rPr>
          <w:i/>
        </w:rPr>
        <w:t>-</w:t>
      </w:r>
      <w:r>
        <w:rPr>
          <w:i/>
        </w:rPr>
        <w:t>subjects</w:t>
      </w:r>
      <w:r>
        <w:t xml:space="preserve"> design) or through a combination of the above.  Individual customer regressions and day matching baselines are both examples of within</w:t>
      </w:r>
      <w:r w:rsidR="003F58C2">
        <w:t>-</w:t>
      </w:r>
      <w:r>
        <w:t>subject methods.  An analysis that relies solely on a control groups – that is, one that does not rely on non-event or pre-enrollment data – is an example of a between</w:t>
      </w:r>
      <w:r w:rsidR="002F60B8">
        <w:t>-</w:t>
      </w:r>
      <w:r>
        <w:t>subjects method.  The primary method employed for ex post estimation, difference-in-differences, makes use of both hot non-event days (within</w:t>
      </w:r>
      <w:r w:rsidR="002F60B8">
        <w:t>-</w:t>
      </w:r>
      <w:r>
        <w:t>subjects) and a control group (between</w:t>
      </w:r>
      <w:r w:rsidR="002F60B8">
        <w:t>-</w:t>
      </w:r>
      <w:r>
        <w:t xml:space="preserve">subjects) data.  This section presents the secondary method used for ex post analysis: individual customer regressions.  In this section, we present the methodology, validation tests and estimated load impacts for 2012.   </w:t>
      </w:r>
    </w:p>
    <w:p w:rsidR="00A61B6E" w:rsidRDefault="00A61B6E" w:rsidP="00A61B6E">
      <w:pPr>
        <w:pStyle w:val="BodyBeforeBullet"/>
      </w:pPr>
      <w:r>
        <w:t xml:space="preserve">Individual customer regressions were calculated for three main reasons: </w:t>
      </w:r>
    </w:p>
    <w:p w:rsidR="00A61B6E" w:rsidRDefault="00A61B6E" w:rsidP="00A61B6E">
      <w:pPr>
        <w:pStyle w:val="Bullets"/>
      </w:pPr>
      <w:r>
        <w:t>They serve a cross check for impacts estimated with difference-in-differences;</w:t>
      </w:r>
    </w:p>
    <w:p w:rsidR="00A61B6E" w:rsidRDefault="00A61B6E" w:rsidP="00A61B6E">
      <w:pPr>
        <w:pStyle w:val="Bullets"/>
      </w:pPr>
      <w:r>
        <w:t>They allow readers to understand if differences in estimated demand reductions are due to changing the primary method from individual regressions to difference-in-differences; and</w:t>
      </w:r>
    </w:p>
    <w:p w:rsidR="00A61B6E" w:rsidRDefault="00A61B6E" w:rsidP="00A61B6E">
      <w:pPr>
        <w:pStyle w:val="BulletLast"/>
      </w:pPr>
      <w:r>
        <w:t>They facilitate development to ex</w:t>
      </w:r>
      <w:r w:rsidR="00CA470C">
        <w:t xml:space="preserve"> </w:t>
      </w:r>
      <w:r>
        <w:t xml:space="preserve">ante impacts due to their inherent flexibility. </w:t>
      </w:r>
    </w:p>
    <w:p w:rsidR="00A61B6E" w:rsidRDefault="00A61B6E" w:rsidP="00A61B6E">
      <w:pPr>
        <w:pStyle w:val="BodyParagraph"/>
      </w:pPr>
      <w:r>
        <w:t>The main conclusions from the analysis are twofold.  First, estimated load impacts for the average event day are quite similar for both approaches for PG&amp;E an</w:t>
      </w:r>
      <w:r w:rsidR="003F58C2">
        <w:t>d</w:t>
      </w:r>
      <w:r>
        <w:t xml:space="preserve"> SCE, but are biased for SDG&amp;E. </w:t>
      </w:r>
      <w:r w:rsidR="003F58C2">
        <w:t xml:space="preserve"> </w:t>
      </w:r>
      <w:r>
        <w:t xml:space="preserve">Second, a side-by-side comparison of validation tests indicates that even when accurate for the average event, individual customer regressions produce noisier results for individual event days. </w:t>
      </w:r>
    </w:p>
    <w:p w:rsidR="00A61B6E" w:rsidRDefault="00A61B6E" w:rsidP="00A61B6E">
      <w:pPr>
        <w:pStyle w:val="BodyParagraph"/>
      </w:pPr>
      <w:r>
        <w:rPr>
          <w:rFonts w:cs="Arial"/>
          <w:szCs w:val="20"/>
        </w:rPr>
        <w:t>As its name suggests, this type of analysis</w:t>
      </w:r>
      <w:r w:rsidRPr="00BA5755">
        <w:rPr>
          <w:rFonts w:cs="Arial"/>
          <w:szCs w:val="20"/>
        </w:rPr>
        <w:t xml:space="preserve"> consists of applying regression models </w:t>
      </w:r>
      <w:r>
        <w:rPr>
          <w:rFonts w:cs="Arial"/>
          <w:szCs w:val="20"/>
        </w:rPr>
        <w:t xml:space="preserve">to the hourly load data for each individual </w:t>
      </w:r>
      <w:r w:rsidRPr="00BA5755">
        <w:rPr>
          <w:rFonts w:cs="Arial"/>
          <w:szCs w:val="20"/>
        </w:rPr>
        <w:t>customer.  The estimated coefficients vary for each customer</w:t>
      </w:r>
      <w:r>
        <w:rPr>
          <w:rFonts w:cs="Arial"/>
          <w:szCs w:val="20"/>
        </w:rPr>
        <w:t xml:space="preserve"> as does the amount of data used for each customer.  It is also possible to test multiple models for each customer and select the one that is the most accurate based on out-of-sample testing. </w:t>
      </w:r>
      <w:r w:rsidRPr="00BA5755">
        <w:rPr>
          <w:rFonts w:cs="Arial"/>
          <w:szCs w:val="20"/>
        </w:rPr>
        <w:t xml:space="preserve"> The fact that each customer has its own</w:t>
      </w:r>
      <w:r>
        <w:rPr>
          <w:rFonts w:cs="Arial"/>
          <w:szCs w:val="20"/>
        </w:rPr>
        <w:t xml:space="preserve"> parameters</w:t>
      </w:r>
      <w:r w:rsidRPr="00BA5755">
        <w:rPr>
          <w:rFonts w:cs="Arial"/>
          <w:szCs w:val="20"/>
        </w:rPr>
        <w:t xml:space="preserve"> automatically accounts for variables that are constant for each customer, such as industry and geographic location.</w:t>
      </w:r>
      <w:r>
        <w:rPr>
          <w:rFonts w:cs="Arial"/>
          <w:szCs w:val="20"/>
        </w:rPr>
        <w:t xml:space="preserve">  Because the coefficients are customer specific, they can </w:t>
      </w:r>
      <w:r>
        <w:t xml:space="preserve">better explain the variation in individual customer production and/or occupancy patterns, weather sensitivity, enrollment dates and event day dispatch patterns (which vary substantially across customers due to when each customer enrolled).  In addition, individual customer regressions can </w:t>
      </w:r>
      <w:r w:rsidRPr="005E34AE">
        <w:t xml:space="preserve">produce insight into how impacts vary across customers and key segments such as location, industry type, customer size and rate.  </w:t>
      </w:r>
    </w:p>
    <w:p w:rsidR="00A61B6E" w:rsidRDefault="00A61B6E" w:rsidP="00A61B6E">
      <w:pPr>
        <w:pStyle w:val="BodyParagraph"/>
      </w:pPr>
      <w:r>
        <w:t>Individual regressions can work due to t</w:t>
      </w:r>
      <w:r w:rsidRPr="005E34AE">
        <w:t>he dispatch pattern</w:t>
      </w:r>
      <w:r>
        <w:t>s of CPP programs.  T</w:t>
      </w:r>
      <w:r w:rsidRPr="005E34AE">
        <w:t xml:space="preserve">he primary intervention </w:t>
      </w:r>
      <w:r>
        <w:t>–</w:t>
      </w:r>
      <w:r w:rsidRPr="005E34AE">
        <w:t xml:space="preserve"> event days w</w:t>
      </w:r>
      <w:r>
        <w:t>hen customers face higher peak period prices –</w:t>
      </w:r>
      <w:r w:rsidRPr="005E34AE">
        <w:t xml:space="preserve"> is introduced </w:t>
      </w:r>
      <w:r>
        <w:t>o</w:t>
      </w:r>
      <w:r w:rsidRPr="005E34AE">
        <w:t xml:space="preserve">n some days and not </w:t>
      </w:r>
      <w:r>
        <w:t>o</w:t>
      </w:r>
      <w:r w:rsidRPr="005E34AE">
        <w:t xml:space="preserve">n others, making it possible to observe behavior with and without </w:t>
      </w:r>
      <w:r>
        <w:t>demand response</w:t>
      </w:r>
      <w:r w:rsidRPr="005E34AE">
        <w:t>.  A</w:t>
      </w:r>
      <w:r w:rsidR="003F58C2">
        <w:t> </w:t>
      </w:r>
      <w:r w:rsidRPr="005E34AE">
        <w:t xml:space="preserve">repeated </w:t>
      </w:r>
      <w:r>
        <w:t>intervention</w:t>
      </w:r>
      <w:r w:rsidRPr="005E34AE">
        <w:t xml:space="preserve"> design enables us to assess whether the outcome </w:t>
      </w:r>
      <w:r>
        <w:t>–</w:t>
      </w:r>
      <w:r w:rsidRPr="005E34AE">
        <w:t xml:space="preserve"> electricity consumption </w:t>
      </w:r>
      <w:r>
        <w:t>–</w:t>
      </w:r>
      <w:r w:rsidRPr="005E34AE">
        <w:t xml:space="preserve"> rises or falls with </w:t>
      </w:r>
      <w:r>
        <w:t>the presence or absence of CPP peak hour event day prices.</w:t>
      </w:r>
      <w:r w:rsidRPr="005E34AE">
        <w:t xml:space="preserve">  This approach works if the effect of the </w:t>
      </w:r>
      <w:r>
        <w:t xml:space="preserve">intervention dissipates after it is removed, meaning the effects do not spill over onto non-event days. </w:t>
      </w:r>
      <w:r w:rsidRPr="005E34AE">
        <w:t xml:space="preserve"> </w:t>
      </w:r>
      <w:r>
        <w:t>It also hinges on whether or not customer behavior during hotter non-event days is similar to event days.  CPP programs tend to be dispatched on summer days when system loads are higher and temperatures are hotter</w:t>
      </w:r>
      <w:r w:rsidRPr="00207F26">
        <w:t>.  In other words, event days are not ran</w:t>
      </w:r>
      <w:r>
        <w:t xml:space="preserve">dom, but rather </w:t>
      </w:r>
      <w:r>
        <w:lastRenderedPageBreak/>
        <w:t>systematically selected.  CPP rates also introduce a secondary intervention – they lower electricity prices during non-event days.  As explained in the main report, the effect of this secondary effect was not measured for three reasons: prior analyses in 2010 and 2011 did not find statistically significant impacts due to the rate discount</w:t>
      </w:r>
      <w:r w:rsidR="003F58C2">
        <w:t>;</w:t>
      </w:r>
      <w:r>
        <w:rPr>
          <w:rStyle w:val="FootnoteReference"/>
        </w:rPr>
        <w:footnoteReference w:id="33"/>
      </w:r>
      <w:r>
        <w:t xml:space="preserve"> the pre-enrollment data needed to quantify the effect of the rate discount is too distant (four or five years prior); and any changes are by now likely embedded into system load (and are not incremental). </w:t>
      </w:r>
    </w:p>
    <w:p w:rsidR="00A61B6E" w:rsidRDefault="00A61B6E" w:rsidP="00A61B6E">
      <w:pPr>
        <w:pStyle w:val="AppendixHeading2"/>
      </w:pPr>
      <w:bookmarkStart w:id="223" w:name="_Toc352323672"/>
      <w:r w:rsidRPr="00A61B6E">
        <w:t>Regression</w:t>
      </w:r>
      <w:r>
        <w:t xml:space="preserve"> Models</w:t>
      </w:r>
      <w:bookmarkEnd w:id="223"/>
    </w:p>
    <w:p w:rsidR="00A61B6E" w:rsidRDefault="00A61B6E" w:rsidP="00A61B6E">
      <w:pPr>
        <w:pStyle w:val="BodyParagraph"/>
      </w:pPr>
      <w:r>
        <w:t>Regression models meant to capture the relationship between electricity use, year, day type, season and weather were run for each customer.  Ordinary Least Squares regression was used and a separate model was run for each hour, using robust standard errors.</w:t>
      </w:r>
      <w:r>
        <w:rPr>
          <w:rStyle w:val="FootnoteReference"/>
        </w:rPr>
        <w:footnoteReference w:id="34"/>
      </w:r>
      <w:r>
        <w:t xml:space="preserve">  In total, </w:t>
      </w:r>
      <w:r w:rsidR="003F58C2">
        <w:t xml:space="preserve">10 </w:t>
      </w:r>
      <w:r>
        <w:t xml:space="preserve">models were tested for each customer at each utility. </w:t>
      </w:r>
      <w:r w:rsidR="003F58C2">
        <w:t xml:space="preserve"> </w:t>
      </w:r>
      <w:r>
        <w:t>The final results for each customer are based on the model that produces the smallest errors and leas</w:t>
      </w:r>
      <w:r w:rsidR="003F58C2">
        <w:t>t</w:t>
      </w:r>
      <w:r>
        <w:t xml:space="preserve"> bias for that customer.  The </w:t>
      </w:r>
      <w:r w:rsidR="003F58C2">
        <w:t>10</w:t>
      </w:r>
      <w:r>
        <w:t xml:space="preserve"> models vary in how weather variables were defined, if at all, and in the inclusion of monthly or seasonal variables.  This tailored approach customizes models based on whether or not customers were weather sensitive or exhibited seasonal patterns.  The added level of accuracy and precision using this customized approached is not always large.  However, small improvements matter when percent demand reductions are small.  If the true effect were 5%, reducing reference load bias from 1.0% to 0.5% is equivalent to reducing impact bias from 20% to 10%. </w:t>
      </w:r>
    </w:p>
    <w:p w:rsidR="00A61B6E" w:rsidRDefault="00A61B6E" w:rsidP="00A61B6E">
      <w:pPr>
        <w:pStyle w:val="BodyParagraph"/>
      </w:pPr>
      <w:r>
        <w:t>For each customer, the regression used multiple-years of data.  For PG&amp;E, the individual customer regressions were estimated using 2010, 2011 and 2012 non-event weekday data, if it was available for the specific customer.  For SDG&amp;E, the regressions were estimated using data from 2009</w:t>
      </w:r>
      <w:r w:rsidR="00CA470C">
        <w:t>–</w:t>
      </w:r>
      <w:r>
        <w:t>2012, if available.</w:t>
      </w:r>
      <w:r>
        <w:rPr>
          <w:rStyle w:val="FootnoteReference"/>
        </w:rPr>
        <w:footnoteReference w:id="35"/>
      </w:r>
      <w:r>
        <w:t xml:space="preserve">  To the extent possible, the regressions for each customer avoided cooler days, which typically do not provide much information about behavior during hotter non-event days.  For example, if the lowest event day maximum temperature a customer experiences was 100°F, only days that exceed 80% of  100°F  (or 80°F)</w:t>
      </w:r>
      <w:r w:rsidR="003F58C2">
        <w:t xml:space="preserve"> </w:t>
      </w:r>
      <w:r>
        <w:t>were included.  Table C-1 summarizes the individual customer regression specifications and Table C-2 describes each of the regressions terms.</w:t>
      </w:r>
    </w:p>
    <w:p w:rsidR="00A61B6E" w:rsidRDefault="00A61B6E">
      <w:pPr>
        <w:rPr>
          <w:rFonts w:ascii="Verdana" w:hAnsi="Verdana"/>
          <w:sz w:val="18"/>
        </w:rPr>
      </w:pPr>
      <w:r>
        <w:br w:type="page"/>
      </w:r>
    </w:p>
    <w:p w:rsidR="00A61B6E" w:rsidRDefault="00A61B6E" w:rsidP="00A61B6E">
      <w:pPr>
        <w:pStyle w:val="TableFigureCaption"/>
      </w:pPr>
      <w:r>
        <w:lastRenderedPageBreak/>
        <w:t>Table C-1: Individual Customer Regression Models</w:t>
      </w:r>
    </w:p>
    <w:tbl>
      <w:tblPr>
        <w:tblW w:w="9194" w:type="dxa"/>
        <w:tblInd w:w="94" w:type="dxa"/>
        <w:tblLook w:val="04A0" w:firstRow="1" w:lastRow="0" w:firstColumn="1" w:lastColumn="0" w:noHBand="0" w:noVBand="1"/>
      </w:tblPr>
      <w:tblGrid>
        <w:gridCol w:w="960"/>
        <w:gridCol w:w="8234"/>
      </w:tblGrid>
      <w:tr w:rsidR="00A61B6E" w:rsidRPr="00EB078C" w:rsidTr="00A61B6E">
        <w:trPr>
          <w:trHeight w:val="300"/>
        </w:trPr>
        <w:tc>
          <w:tcPr>
            <w:tcW w:w="960" w:type="dxa"/>
            <w:tcBorders>
              <w:top w:val="single" w:sz="4" w:space="0" w:color="auto"/>
              <w:left w:val="single" w:sz="4" w:space="0" w:color="auto"/>
              <w:bottom w:val="single" w:sz="4" w:space="0" w:color="auto"/>
              <w:right w:val="single" w:sz="4" w:space="0" w:color="FFFFFF"/>
            </w:tcBorders>
            <w:shd w:val="clear" w:color="000000" w:fill="1F497D"/>
            <w:noWrap/>
            <w:vAlign w:val="center"/>
            <w:hideMark/>
          </w:tcPr>
          <w:p w:rsidR="00A61B6E" w:rsidRPr="00EB078C" w:rsidRDefault="00A61B6E" w:rsidP="00A61B6E">
            <w:pPr>
              <w:pStyle w:val="TableHeader"/>
            </w:pPr>
            <w:r w:rsidRPr="00EB078C">
              <w:t>Model #</w:t>
            </w:r>
          </w:p>
        </w:tc>
        <w:tc>
          <w:tcPr>
            <w:tcW w:w="8234" w:type="dxa"/>
            <w:tcBorders>
              <w:top w:val="single" w:sz="4" w:space="0" w:color="auto"/>
              <w:left w:val="nil"/>
              <w:bottom w:val="single" w:sz="4" w:space="0" w:color="auto"/>
              <w:right w:val="single" w:sz="4" w:space="0" w:color="auto"/>
            </w:tcBorders>
            <w:shd w:val="clear" w:color="000000" w:fill="1F497D"/>
            <w:noWrap/>
            <w:vAlign w:val="center"/>
            <w:hideMark/>
          </w:tcPr>
          <w:p w:rsidR="00A61B6E" w:rsidRPr="00EB078C" w:rsidRDefault="00A61B6E" w:rsidP="00A61B6E">
            <w:pPr>
              <w:pStyle w:val="TableHeader"/>
            </w:pPr>
            <w:r w:rsidRPr="00EB078C">
              <w:t>Specification</w:t>
            </w:r>
          </w:p>
        </w:tc>
      </w:tr>
      <w:tr w:rsidR="00A61B6E" w:rsidRPr="00EB078C" w:rsidTr="00A61B6E">
        <w:trPr>
          <w:trHeight w:val="1034"/>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61B6E" w:rsidRPr="00EB078C" w:rsidRDefault="00A61B6E" w:rsidP="00A61B6E">
            <w:pPr>
              <w:pStyle w:val="TableText"/>
            </w:pPr>
            <w:r w:rsidRPr="00EB078C">
              <w:t>1</w:t>
            </w:r>
          </w:p>
        </w:tc>
        <w:tc>
          <w:tcPr>
            <w:tcW w:w="8234" w:type="dxa"/>
            <w:tcBorders>
              <w:top w:val="nil"/>
              <w:left w:val="nil"/>
              <w:bottom w:val="single" w:sz="4" w:space="0" w:color="auto"/>
              <w:right w:val="single" w:sz="4" w:space="0" w:color="auto"/>
            </w:tcBorders>
            <w:shd w:val="clear" w:color="auto" w:fill="auto"/>
            <w:noWrap/>
            <w:vAlign w:val="center"/>
            <w:hideMark/>
          </w:tcPr>
          <w:p w:rsidR="00A61B6E" w:rsidRPr="00834177" w:rsidRDefault="00010384" w:rsidP="00A61B6E">
            <w:pPr>
              <w:pStyle w:val="BodyParagraph"/>
              <w:jc w:val="center"/>
              <w:rPr>
                <w:rFonts w:ascii="Cambria Math" w:hAnsi="Cambria Math"/>
                <w:szCs w:val="18"/>
              </w:rPr>
            </w:pPr>
            <m:oMath>
              <m:sSub>
                <m:sSubPr>
                  <m:ctrlPr>
                    <w:rPr>
                      <w:rFonts w:ascii="Cambria Math" w:hAnsi="Cambria Math"/>
                      <w:szCs w:val="18"/>
                    </w:rPr>
                  </m:ctrlPr>
                </m:sSubPr>
                <m:e>
                  <m:r>
                    <w:rPr>
                      <w:rFonts w:ascii="Cambria Math" w:hAnsi="Cambria Math"/>
                      <w:szCs w:val="18"/>
                    </w:rPr>
                    <m:t>kW</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a</m:t>
              </m:r>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i</m:t>
                      </m:r>
                      <m:r>
                        <m:rPr>
                          <m:sty m:val="p"/>
                        </m:rPr>
                        <w:rPr>
                          <w:rFonts w:ascii="Cambria Math" w:hAnsi="Cambria Math"/>
                          <w:szCs w:val="18"/>
                        </w:rPr>
                        <m:t>=2010</m:t>
                      </m:r>
                    </m:sub>
                    <m:sup>
                      <m:r>
                        <m:rPr>
                          <m:sty m:val="p"/>
                        </m:rPr>
                        <w:rPr>
                          <w:rFonts w:ascii="Cambria Math" w:hAnsi="Cambria Math"/>
                          <w:szCs w:val="18"/>
                        </w:rPr>
                        <m:t>2012</m:t>
                      </m:r>
                    </m:sup>
                    <m:e>
                      <m:sSub>
                        <m:sSubPr>
                          <m:ctrlPr>
                            <w:rPr>
                              <w:rFonts w:ascii="Cambria Math" w:hAnsi="Cambria Math"/>
                              <w:szCs w:val="18"/>
                            </w:rPr>
                          </m:ctrlPr>
                        </m:sSubPr>
                        <m:e>
                          <m:r>
                            <w:rPr>
                              <w:rFonts w:ascii="Cambria Math" w:hAnsi="Cambria Math"/>
                              <w:szCs w:val="18"/>
                            </w:rPr>
                            <m:t>b</m:t>
                          </m:r>
                        </m:e>
                        <m:sub>
                          <m:r>
                            <w:rPr>
                              <w:rFonts w:ascii="Cambria Math" w:hAnsi="Cambria Math"/>
                              <w:szCs w:val="18"/>
                            </w:rPr>
                            <m:t>i</m:t>
                          </m:r>
                        </m:sub>
                      </m:sSub>
                    </m:e>
                  </m:nary>
                  <m:r>
                    <m:rPr>
                      <m:sty m:val="p"/>
                    </m:rPr>
                    <w:rPr>
                      <w:rFonts w:ascii="Cambria Math" w:hAnsi="Cambria Math"/>
                      <w:szCs w:val="18"/>
                    </w:rPr>
                    <m:t>*</m:t>
                  </m:r>
                  <m:r>
                    <w:rPr>
                      <w:rFonts w:ascii="Cambria Math" w:hAnsi="Cambria Math"/>
                      <w:szCs w:val="18"/>
                    </w:rPr>
                    <m:t>year</m:t>
                  </m:r>
                </m:e>
                <m:sub>
                  <m:r>
                    <w:rPr>
                      <w:rFonts w:ascii="Cambria Math" w:hAnsi="Cambria Math"/>
                      <w:szCs w:val="18"/>
                    </w:rPr>
                    <m:t>dti</m:t>
                  </m:r>
                </m:sub>
              </m:sSub>
              <m:r>
                <m:rPr>
                  <m:sty m:val="p"/>
                </m:rPr>
                <w:rPr>
                  <w:rFonts w:ascii="Cambria Math" w:hAnsi="Cambria Math"/>
                  <w:szCs w:val="18"/>
                </w:rPr>
                <m:t>+</m:t>
              </m:r>
              <m:r>
                <w:rPr>
                  <w:rFonts w:ascii="Cambria Math" w:hAnsi="Cambria Math"/>
                  <w:szCs w:val="18"/>
                </w:rPr>
                <m:t>c</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season</m:t>
                  </m:r>
                </m:e>
                <m:sub>
                  <m:r>
                    <w:rPr>
                      <w:rFonts w:ascii="Cambria Math" w:hAnsi="Cambria Math"/>
                      <w:szCs w:val="18"/>
                    </w:rPr>
                    <m:t>dt</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j</m:t>
                      </m:r>
                      <m:r>
                        <m:rPr>
                          <m:sty m:val="p"/>
                        </m:rPr>
                        <w:rPr>
                          <w:rFonts w:ascii="Cambria Math" w:hAnsi="Cambria Math"/>
                          <w:szCs w:val="18"/>
                        </w:rPr>
                        <m:t>=2</m:t>
                      </m:r>
                    </m:sub>
                    <m:sup>
                      <m:r>
                        <m:rPr>
                          <m:sty m:val="p"/>
                        </m:rPr>
                        <w:rPr>
                          <w:rFonts w:ascii="Cambria Math" w:hAnsi="Cambria Math"/>
                          <w:szCs w:val="18"/>
                        </w:rPr>
                        <m:t>12</m:t>
                      </m:r>
                    </m:sup>
                    <m:e>
                      <m:sSub>
                        <m:sSubPr>
                          <m:ctrlPr>
                            <w:rPr>
                              <w:rFonts w:ascii="Cambria Math" w:hAnsi="Cambria Math"/>
                              <w:szCs w:val="18"/>
                            </w:rPr>
                          </m:ctrlPr>
                        </m:sSubPr>
                        <m:e>
                          <m:r>
                            <w:rPr>
                              <w:rFonts w:ascii="Cambria Math" w:hAnsi="Cambria Math"/>
                              <w:szCs w:val="18"/>
                            </w:rPr>
                            <m:t>d</m:t>
                          </m:r>
                        </m:e>
                        <m:sub>
                          <m:r>
                            <w:rPr>
                              <w:rFonts w:ascii="Cambria Math" w:hAnsi="Cambria Math"/>
                              <w:szCs w:val="18"/>
                            </w:rPr>
                            <m:t>j</m:t>
                          </m:r>
                        </m:sub>
                      </m:sSub>
                      <m:r>
                        <m:rPr>
                          <m:sty m:val="p"/>
                        </m:rPr>
                        <w:rPr>
                          <w:rFonts w:ascii="Cambria Math" w:hAnsi="Cambria Math"/>
                          <w:szCs w:val="18"/>
                        </w:rPr>
                        <m:t>*</m:t>
                      </m:r>
                    </m:e>
                  </m:nary>
                  <m:r>
                    <w:rPr>
                      <w:rFonts w:ascii="Cambria Math" w:hAnsi="Cambria Math"/>
                      <w:szCs w:val="18"/>
                    </w:rPr>
                    <m:t>month</m:t>
                  </m:r>
                </m:e>
                <m:sub>
                  <m:r>
                    <w:rPr>
                      <w:rFonts w:ascii="Cambria Math" w:hAnsi="Cambria Math"/>
                      <w:szCs w:val="18"/>
                    </w:rPr>
                    <m:t>dtj</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k</m:t>
                      </m:r>
                      <m:r>
                        <m:rPr>
                          <m:sty m:val="p"/>
                        </m:rPr>
                        <w:rPr>
                          <w:rFonts w:ascii="Cambria Math" w:hAnsi="Cambria Math"/>
                          <w:szCs w:val="18"/>
                        </w:rPr>
                        <m:t>=2</m:t>
                      </m:r>
                    </m:sub>
                    <m:sup>
                      <m:r>
                        <m:rPr>
                          <m:sty m:val="p"/>
                        </m:rPr>
                        <w:rPr>
                          <w:rFonts w:ascii="Cambria Math" w:hAnsi="Cambria Math"/>
                          <w:szCs w:val="18"/>
                        </w:rPr>
                        <m:t>5</m:t>
                      </m:r>
                    </m:sup>
                    <m:e>
                      <m:sSub>
                        <m:sSubPr>
                          <m:ctrlPr>
                            <w:rPr>
                              <w:rFonts w:ascii="Cambria Math" w:hAnsi="Cambria Math"/>
                              <w:szCs w:val="18"/>
                            </w:rPr>
                          </m:ctrlPr>
                        </m:sSubPr>
                        <m:e>
                          <m:r>
                            <w:rPr>
                              <w:rFonts w:ascii="Cambria Math" w:hAnsi="Cambria Math"/>
                              <w:szCs w:val="18"/>
                            </w:rPr>
                            <m:t>e</m:t>
                          </m:r>
                        </m:e>
                        <m:sub>
                          <m:r>
                            <w:rPr>
                              <w:rFonts w:ascii="Cambria Math" w:hAnsi="Cambria Math"/>
                              <w:szCs w:val="18"/>
                            </w:rPr>
                            <m:t>k</m:t>
                          </m:r>
                        </m:sub>
                      </m:sSub>
                      <m:r>
                        <m:rPr>
                          <m:sty m:val="p"/>
                        </m:rPr>
                        <w:rPr>
                          <w:rFonts w:ascii="Cambria Math" w:hAnsi="Cambria Math"/>
                          <w:szCs w:val="18"/>
                        </w:rPr>
                        <m:t>*</m:t>
                      </m:r>
                    </m:e>
                  </m:nary>
                  <m:r>
                    <w:rPr>
                      <w:rFonts w:ascii="Cambria Math" w:hAnsi="Cambria Math"/>
                      <w:szCs w:val="18"/>
                    </w:rPr>
                    <m:t>da</m:t>
                  </m:r>
                  <m:r>
                    <w:rPr>
                      <w:rFonts w:ascii="Cambria Math" w:hAnsi="Cambria Math"/>
                      <w:szCs w:val="18"/>
                    </w:rPr>
                    <m:t>ytype</m:t>
                  </m:r>
                </m:e>
                <m:sub>
                  <m:r>
                    <w:rPr>
                      <w:rFonts w:ascii="Cambria Math" w:hAnsi="Cambria Math"/>
                      <w:szCs w:val="18"/>
                    </w:rPr>
                    <m:t>dtk</m:t>
                  </m:r>
                </m:sub>
              </m:sSub>
              <m:sSub>
                <m:sSubPr>
                  <m:ctrlPr>
                    <w:rPr>
                      <w:rFonts w:ascii="Cambria Math" w:hAnsi="Cambria Math"/>
                      <w:szCs w:val="18"/>
                    </w:rPr>
                  </m:ctrlPr>
                </m:sSubPr>
                <m:e>
                  <m:r>
                    <m:rPr>
                      <m:sty m:val="p"/>
                    </m:rPr>
                    <w:rPr>
                      <w:rFonts w:ascii="Cambria Math" w:hAnsi="Cambria Math"/>
                      <w:szCs w:val="18"/>
                    </w:rPr>
                    <m:t>+</m:t>
                  </m:r>
                  <m:r>
                    <w:rPr>
                      <w:rFonts w:ascii="Cambria Math" w:hAnsi="Cambria Math"/>
                      <w:szCs w:val="18"/>
                    </w:rPr>
                    <m:t>f</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cdd</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g</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cddsqr</m:t>
                      </m:r>
                    </m:e>
                    <m:sub>
                      <m:r>
                        <w:rPr>
                          <w:rFonts w:ascii="Cambria Math" w:hAnsi="Cambria Math"/>
                          <w:szCs w:val="18"/>
                        </w:rPr>
                        <m:t>dt</m:t>
                      </m:r>
                    </m:sub>
                  </m:sSub>
                  <m:r>
                    <m:rPr>
                      <m:sty m:val="p"/>
                    </m:rPr>
                    <w:rPr>
                      <w:rFonts w:ascii="Cambria Math" w:hAnsi="Cambria Math"/>
                      <w:szCs w:val="18"/>
                    </w:rPr>
                    <m:t>+</m:t>
                  </m:r>
                  <m:nary>
                    <m:naryPr>
                      <m:chr m:val="∑"/>
                      <m:limLoc m:val="undOvr"/>
                      <m:ctrlPr>
                        <w:rPr>
                          <w:rFonts w:ascii="Cambria Math" w:hAnsi="Cambria Math"/>
                          <w:szCs w:val="18"/>
                        </w:rPr>
                      </m:ctrlPr>
                    </m:naryPr>
                    <m:sub>
                      <m:r>
                        <w:rPr>
                          <w:rFonts w:ascii="Cambria Math" w:hAnsi="Cambria Math"/>
                          <w:szCs w:val="18"/>
                        </w:rPr>
                        <m:t>l</m:t>
                      </m:r>
                      <m:r>
                        <m:rPr>
                          <m:sty m:val="p"/>
                        </m:rPr>
                        <w:rPr>
                          <w:rFonts w:ascii="Cambria Math" w:hAnsi="Cambria Math"/>
                          <w:szCs w:val="18"/>
                        </w:rPr>
                        <m:t>=1</m:t>
                      </m:r>
                    </m:sub>
                    <m:sup>
                      <m:r>
                        <m:rPr>
                          <m:sty m:val="p"/>
                        </m:rPr>
                        <w:rPr>
                          <w:rFonts w:ascii="Cambria Math" w:hAnsi="Cambria Math"/>
                          <w:szCs w:val="18"/>
                        </w:rPr>
                        <m:t>n</m:t>
                      </m:r>
                    </m:sup>
                    <m:e>
                      <m:sSub>
                        <m:sSubPr>
                          <m:ctrlPr>
                            <w:rPr>
                              <w:rFonts w:ascii="Cambria Math" w:hAnsi="Cambria Math"/>
                              <w:szCs w:val="18"/>
                            </w:rPr>
                          </m:ctrlPr>
                        </m:sSubPr>
                        <m:e>
                          <m:r>
                            <w:rPr>
                              <w:rFonts w:ascii="Cambria Math" w:hAnsi="Cambria Math"/>
                              <w:szCs w:val="18"/>
                            </w:rPr>
                            <m:t>h</m:t>
                          </m:r>
                        </m:e>
                        <m:sub>
                          <m:r>
                            <w:rPr>
                              <w:rFonts w:ascii="Cambria Math" w:hAnsi="Cambria Math"/>
                              <w:szCs w:val="18"/>
                            </w:rPr>
                            <m:t>l</m:t>
                          </m:r>
                        </m:sub>
                      </m:sSub>
                    </m:e>
                  </m:nary>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eventday</m:t>
                      </m:r>
                    </m:e>
                    <m:sub>
                      <m:r>
                        <w:rPr>
                          <w:rFonts w:ascii="Cambria Math" w:hAnsi="Cambria Math"/>
                          <w:szCs w:val="18"/>
                        </w:rPr>
                        <m:t>dtl</m:t>
                      </m:r>
                    </m:sub>
                  </m:sSub>
                  <m:r>
                    <m:rPr>
                      <m:sty m:val="p"/>
                    </m:rPr>
                    <w:rPr>
                      <w:rFonts w:ascii="Cambria Math" w:hAnsi="Cambria Math"/>
                      <w:szCs w:val="18"/>
                    </w:rPr>
                    <m:t>+</m:t>
                  </m:r>
                  <m:r>
                    <w:rPr>
                      <w:rFonts w:ascii="Cambria Math" w:hAnsi="Cambria Math"/>
                      <w:szCs w:val="18"/>
                    </w:rPr>
                    <m:t>e</m:t>
                  </m:r>
                </m:e>
                <m:sub>
                  <m:r>
                    <w:rPr>
                      <w:rFonts w:ascii="Cambria Math" w:hAnsi="Cambria Math"/>
                      <w:szCs w:val="18"/>
                    </w:rPr>
                    <m:t>dt</m:t>
                  </m:r>
                </m:sub>
              </m:sSub>
              <m:r>
                <m:rPr>
                  <m:sty m:val="p"/>
                </m:rPr>
                <w:rPr>
                  <w:rFonts w:ascii="Cambria Math" w:hAnsi="Cambria Math"/>
                  <w:szCs w:val="18"/>
                </w:rPr>
                <m:t xml:space="preserve">,  </m:t>
              </m:r>
              <m:r>
                <w:rPr>
                  <w:rFonts w:ascii="Cambria Math" w:hAnsi="Cambria Math"/>
                  <w:szCs w:val="18"/>
                </w:rPr>
                <m:t>t</m:t>
              </m:r>
              <m:r>
                <m:rPr>
                  <m:sty m:val="p"/>
                </m:rPr>
                <w:rPr>
                  <w:rFonts w:ascii="Cambria Math" w:hAnsi="Cambria Math"/>
                  <w:szCs w:val="18"/>
                </w:rPr>
                <m:t>={1</m:t>
              </m:r>
            </m:oMath>
            <w:r w:rsidR="00A61B6E" w:rsidRPr="00834177">
              <w:rPr>
                <w:rFonts w:ascii="Cambria Math" w:hAnsi="Cambria Math"/>
                <w:szCs w:val="18"/>
              </w:rPr>
              <w:t>, 2, 3 … 24}</w:t>
            </w:r>
          </w:p>
        </w:tc>
      </w:tr>
      <w:tr w:rsidR="00A61B6E" w:rsidRPr="00EB078C" w:rsidTr="00A61B6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61B6E" w:rsidRPr="00EB078C" w:rsidRDefault="00A61B6E" w:rsidP="00A61B6E">
            <w:pPr>
              <w:pStyle w:val="TableText"/>
            </w:pPr>
            <w:r w:rsidRPr="00EB078C">
              <w:t>2</w:t>
            </w:r>
          </w:p>
        </w:tc>
        <w:tc>
          <w:tcPr>
            <w:tcW w:w="8234" w:type="dxa"/>
            <w:tcBorders>
              <w:top w:val="nil"/>
              <w:left w:val="nil"/>
              <w:bottom w:val="single" w:sz="4" w:space="0" w:color="auto"/>
              <w:right w:val="single" w:sz="4" w:space="0" w:color="auto"/>
            </w:tcBorders>
            <w:shd w:val="clear" w:color="auto" w:fill="auto"/>
            <w:noWrap/>
            <w:vAlign w:val="center"/>
            <w:hideMark/>
          </w:tcPr>
          <w:p w:rsidR="00A61B6E" w:rsidRPr="00834177" w:rsidRDefault="00010384" w:rsidP="00A61B6E">
            <w:pPr>
              <w:pStyle w:val="BodyParagraph"/>
              <w:jc w:val="center"/>
              <w:rPr>
                <w:rFonts w:ascii="Cambria Math" w:hAnsi="Cambria Math"/>
                <w:szCs w:val="18"/>
              </w:rPr>
            </w:pPr>
            <m:oMath>
              <m:sSub>
                <m:sSubPr>
                  <m:ctrlPr>
                    <w:rPr>
                      <w:rFonts w:ascii="Cambria Math" w:hAnsi="Cambria Math"/>
                      <w:szCs w:val="18"/>
                    </w:rPr>
                  </m:ctrlPr>
                </m:sSubPr>
                <m:e>
                  <m:r>
                    <w:rPr>
                      <w:rFonts w:ascii="Cambria Math" w:hAnsi="Cambria Math"/>
                      <w:szCs w:val="18"/>
                    </w:rPr>
                    <m:t>kW</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a</m:t>
              </m:r>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i</m:t>
                      </m:r>
                      <m:r>
                        <m:rPr>
                          <m:sty m:val="p"/>
                        </m:rPr>
                        <w:rPr>
                          <w:rFonts w:ascii="Cambria Math" w:hAnsi="Cambria Math"/>
                          <w:szCs w:val="18"/>
                        </w:rPr>
                        <m:t>=2010</m:t>
                      </m:r>
                    </m:sub>
                    <m:sup>
                      <m:r>
                        <m:rPr>
                          <m:sty m:val="p"/>
                        </m:rPr>
                        <w:rPr>
                          <w:rFonts w:ascii="Cambria Math" w:hAnsi="Cambria Math"/>
                          <w:szCs w:val="18"/>
                        </w:rPr>
                        <m:t>2012</m:t>
                      </m:r>
                    </m:sup>
                    <m:e>
                      <m:sSub>
                        <m:sSubPr>
                          <m:ctrlPr>
                            <w:rPr>
                              <w:rFonts w:ascii="Cambria Math" w:hAnsi="Cambria Math"/>
                              <w:szCs w:val="18"/>
                            </w:rPr>
                          </m:ctrlPr>
                        </m:sSubPr>
                        <m:e>
                          <m:r>
                            <w:rPr>
                              <w:rFonts w:ascii="Cambria Math" w:hAnsi="Cambria Math"/>
                              <w:szCs w:val="18"/>
                            </w:rPr>
                            <m:t>b</m:t>
                          </m:r>
                        </m:e>
                        <m:sub>
                          <m:r>
                            <w:rPr>
                              <w:rFonts w:ascii="Cambria Math" w:hAnsi="Cambria Math"/>
                              <w:szCs w:val="18"/>
                            </w:rPr>
                            <m:t>i</m:t>
                          </m:r>
                        </m:sub>
                      </m:sSub>
                    </m:e>
                  </m:nary>
                  <m:r>
                    <m:rPr>
                      <m:sty m:val="p"/>
                    </m:rPr>
                    <w:rPr>
                      <w:rFonts w:ascii="Cambria Math" w:hAnsi="Cambria Math"/>
                      <w:szCs w:val="18"/>
                    </w:rPr>
                    <m:t>*</m:t>
                  </m:r>
                  <m:r>
                    <w:rPr>
                      <w:rFonts w:ascii="Cambria Math" w:hAnsi="Cambria Math"/>
                      <w:szCs w:val="18"/>
                    </w:rPr>
                    <m:t>year</m:t>
                  </m:r>
                </m:e>
                <m:sub>
                  <m:r>
                    <w:rPr>
                      <w:rFonts w:ascii="Cambria Math" w:hAnsi="Cambria Math"/>
                      <w:szCs w:val="18"/>
                    </w:rPr>
                    <m:t>dti</m:t>
                  </m:r>
                </m:sub>
              </m:sSub>
              <m:r>
                <m:rPr>
                  <m:sty m:val="p"/>
                </m:rPr>
                <w:rPr>
                  <w:rFonts w:ascii="Cambria Math" w:hAnsi="Cambria Math"/>
                  <w:szCs w:val="18"/>
                </w:rPr>
                <m:t>+</m:t>
              </m:r>
              <m:r>
                <w:rPr>
                  <w:rFonts w:ascii="Cambria Math" w:hAnsi="Cambria Math"/>
                  <w:szCs w:val="18"/>
                </w:rPr>
                <m:t>c</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season</m:t>
                  </m:r>
                </m:e>
                <m:sub>
                  <m:r>
                    <w:rPr>
                      <w:rFonts w:ascii="Cambria Math" w:hAnsi="Cambria Math"/>
                      <w:szCs w:val="18"/>
                    </w:rPr>
                    <m:t>dt</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j</m:t>
                      </m:r>
                      <m:r>
                        <m:rPr>
                          <m:sty m:val="p"/>
                        </m:rPr>
                        <w:rPr>
                          <w:rFonts w:ascii="Cambria Math" w:hAnsi="Cambria Math"/>
                          <w:szCs w:val="18"/>
                        </w:rPr>
                        <m:t>=2</m:t>
                      </m:r>
                    </m:sub>
                    <m:sup>
                      <m:r>
                        <m:rPr>
                          <m:sty m:val="p"/>
                        </m:rPr>
                        <w:rPr>
                          <w:rFonts w:ascii="Cambria Math" w:hAnsi="Cambria Math"/>
                          <w:szCs w:val="18"/>
                        </w:rPr>
                        <m:t>12</m:t>
                      </m:r>
                    </m:sup>
                    <m:e>
                      <m:sSub>
                        <m:sSubPr>
                          <m:ctrlPr>
                            <w:rPr>
                              <w:rFonts w:ascii="Cambria Math" w:hAnsi="Cambria Math"/>
                              <w:szCs w:val="18"/>
                            </w:rPr>
                          </m:ctrlPr>
                        </m:sSubPr>
                        <m:e>
                          <m:r>
                            <w:rPr>
                              <w:rFonts w:ascii="Cambria Math" w:hAnsi="Cambria Math"/>
                              <w:szCs w:val="18"/>
                            </w:rPr>
                            <m:t>d</m:t>
                          </m:r>
                        </m:e>
                        <m:sub>
                          <m:r>
                            <w:rPr>
                              <w:rFonts w:ascii="Cambria Math" w:hAnsi="Cambria Math"/>
                              <w:szCs w:val="18"/>
                            </w:rPr>
                            <m:t>j</m:t>
                          </m:r>
                        </m:sub>
                      </m:sSub>
                      <m:r>
                        <m:rPr>
                          <m:sty m:val="p"/>
                        </m:rPr>
                        <w:rPr>
                          <w:rFonts w:ascii="Cambria Math" w:hAnsi="Cambria Math"/>
                          <w:szCs w:val="18"/>
                        </w:rPr>
                        <m:t>*</m:t>
                      </m:r>
                    </m:e>
                  </m:nary>
                  <m:r>
                    <w:rPr>
                      <w:rFonts w:ascii="Cambria Math" w:hAnsi="Cambria Math"/>
                      <w:szCs w:val="18"/>
                    </w:rPr>
                    <m:t>month</m:t>
                  </m:r>
                </m:e>
                <m:sub>
                  <m:r>
                    <w:rPr>
                      <w:rFonts w:ascii="Cambria Math" w:hAnsi="Cambria Math"/>
                      <w:szCs w:val="18"/>
                    </w:rPr>
                    <m:t>dtj</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k</m:t>
                      </m:r>
                      <m:r>
                        <m:rPr>
                          <m:sty m:val="p"/>
                        </m:rPr>
                        <w:rPr>
                          <w:rFonts w:ascii="Cambria Math" w:hAnsi="Cambria Math"/>
                          <w:szCs w:val="18"/>
                        </w:rPr>
                        <m:t>=2</m:t>
                      </m:r>
                    </m:sub>
                    <m:sup>
                      <m:r>
                        <m:rPr>
                          <m:sty m:val="p"/>
                        </m:rPr>
                        <w:rPr>
                          <w:rFonts w:ascii="Cambria Math" w:hAnsi="Cambria Math"/>
                          <w:szCs w:val="18"/>
                        </w:rPr>
                        <m:t>5</m:t>
                      </m:r>
                    </m:sup>
                    <m:e>
                      <m:sSub>
                        <m:sSubPr>
                          <m:ctrlPr>
                            <w:rPr>
                              <w:rFonts w:ascii="Cambria Math" w:hAnsi="Cambria Math"/>
                              <w:szCs w:val="18"/>
                            </w:rPr>
                          </m:ctrlPr>
                        </m:sSubPr>
                        <m:e>
                          <m:r>
                            <w:rPr>
                              <w:rFonts w:ascii="Cambria Math" w:hAnsi="Cambria Math"/>
                              <w:szCs w:val="18"/>
                            </w:rPr>
                            <m:t>e</m:t>
                          </m:r>
                        </m:e>
                        <m:sub>
                          <m:r>
                            <w:rPr>
                              <w:rFonts w:ascii="Cambria Math" w:hAnsi="Cambria Math"/>
                              <w:szCs w:val="18"/>
                            </w:rPr>
                            <m:t>k</m:t>
                          </m:r>
                        </m:sub>
                      </m:sSub>
                      <m:r>
                        <m:rPr>
                          <m:sty m:val="p"/>
                        </m:rPr>
                        <w:rPr>
                          <w:rFonts w:ascii="Cambria Math" w:hAnsi="Cambria Math"/>
                          <w:szCs w:val="18"/>
                        </w:rPr>
                        <m:t>*</m:t>
                      </m:r>
                    </m:e>
                  </m:nary>
                  <m:r>
                    <w:rPr>
                      <w:rFonts w:ascii="Cambria Math" w:hAnsi="Cambria Math"/>
                      <w:szCs w:val="18"/>
                    </w:rPr>
                    <m:t>daytype</m:t>
                  </m:r>
                </m:e>
                <m:sub>
                  <m:r>
                    <w:rPr>
                      <w:rFonts w:ascii="Cambria Math" w:hAnsi="Cambria Math"/>
                      <w:szCs w:val="18"/>
                    </w:rPr>
                    <m:t>dtk</m:t>
                  </m:r>
                </m:sub>
              </m:sSub>
              <m:sSub>
                <m:sSubPr>
                  <m:ctrlPr>
                    <w:rPr>
                      <w:rFonts w:ascii="Cambria Math" w:hAnsi="Cambria Math"/>
                      <w:szCs w:val="18"/>
                    </w:rPr>
                  </m:ctrlPr>
                </m:sSubPr>
                <m:e>
                  <m:r>
                    <m:rPr>
                      <m:sty m:val="p"/>
                    </m:rPr>
                    <w:rPr>
                      <w:rFonts w:ascii="Cambria Math" w:hAnsi="Cambria Math"/>
                      <w:szCs w:val="18"/>
                    </w:rPr>
                    <m:t>+</m:t>
                  </m:r>
                  <m:r>
                    <w:rPr>
                      <w:rFonts w:ascii="Cambria Math" w:hAnsi="Cambria Math"/>
                      <w:szCs w:val="18"/>
                    </w:rPr>
                    <m:t>f</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cdd</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g</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cdh</m:t>
                      </m:r>
                    </m:e>
                    <m:sub>
                      <m:r>
                        <w:rPr>
                          <w:rFonts w:ascii="Cambria Math" w:hAnsi="Cambria Math"/>
                          <w:szCs w:val="18"/>
                        </w:rPr>
                        <m:t>dt</m:t>
                      </m:r>
                    </m:sub>
                  </m:sSub>
                  <m:r>
                    <m:rPr>
                      <m:sty m:val="p"/>
                    </m:rPr>
                    <w:rPr>
                      <w:rFonts w:ascii="Cambria Math" w:hAnsi="Cambria Math"/>
                      <w:szCs w:val="18"/>
                    </w:rPr>
                    <m:t>+</m:t>
                  </m:r>
                  <m:nary>
                    <m:naryPr>
                      <m:chr m:val="∑"/>
                      <m:limLoc m:val="undOvr"/>
                      <m:ctrlPr>
                        <w:rPr>
                          <w:rFonts w:ascii="Cambria Math" w:hAnsi="Cambria Math"/>
                          <w:szCs w:val="18"/>
                        </w:rPr>
                      </m:ctrlPr>
                    </m:naryPr>
                    <m:sub>
                      <m:r>
                        <w:rPr>
                          <w:rFonts w:ascii="Cambria Math" w:hAnsi="Cambria Math"/>
                          <w:szCs w:val="18"/>
                        </w:rPr>
                        <m:t>l</m:t>
                      </m:r>
                      <m:r>
                        <m:rPr>
                          <m:sty m:val="p"/>
                        </m:rPr>
                        <w:rPr>
                          <w:rFonts w:ascii="Cambria Math" w:hAnsi="Cambria Math"/>
                          <w:szCs w:val="18"/>
                        </w:rPr>
                        <m:t>=1</m:t>
                      </m:r>
                    </m:sub>
                    <m:sup>
                      <m:r>
                        <m:rPr>
                          <m:sty m:val="p"/>
                        </m:rPr>
                        <w:rPr>
                          <w:rFonts w:ascii="Cambria Math" w:hAnsi="Cambria Math"/>
                          <w:szCs w:val="18"/>
                        </w:rPr>
                        <m:t>n</m:t>
                      </m:r>
                    </m:sup>
                    <m:e>
                      <m:sSub>
                        <m:sSubPr>
                          <m:ctrlPr>
                            <w:rPr>
                              <w:rFonts w:ascii="Cambria Math" w:hAnsi="Cambria Math"/>
                              <w:szCs w:val="18"/>
                            </w:rPr>
                          </m:ctrlPr>
                        </m:sSubPr>
                        <m:e>
                          <m:r>
                            <w:rPr>
                              <w:rFonts w:ascii="Cambria Math" w:hAnsi="Cambria Math"/>
                              <w:szCs w:val="18"/>
                            </w:rPr>
                            <m:t>h</m:t>
                          </m:r>
                        </m:e>
                        <m:sub>
                          <m:r>
                            <w:rPr>
                              <w:rFonts w:ascii="Cambria Math" w:hAnsi="Cambria Math"/>
                              <w:szCs w:val="18"/>
                            </w:rPr>
                            <m:t>l</m:t>
                          </m:r>
                        </m:sub>
                      </m:sSub>
                    </m:e>
                  </m:nary>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eventday</m:t>
                      </m:r>
                    </m:e>
                    <m:sub>
                      <m:r>
                        <w:rPr>
                          <w:rFonts w:ascii="Cambria Math" w:hAnsi="Cambria Math"/>
                          <w:szCs w:val="18"/>
                        </w:rPr>
                        <m:t>dtl</m:t>
                      </m:r>
                    </m:sub>
                  </m:sSub>
                  <m:r>
                    <m:rPr>
                      <m:sty m:val="p"/>
                    </m:rPr>
                    <w:rPr>
                      <w:rFonts w:ascii="Cambria Math" w:hAnsi="Cambria Math"/>
                      <w:szCs w:val="18"/>
                    </w:rPr>
                    <m:t>+</m:t>
                  </m:r>
                  <m:r>
                    <w:rPr>
                      <w:rFonts w:ascii="Cambria Math" w:hAnsi="Cambria Math"/>
                      <w:szCs w:val="18"/>
                    </w:rPr>
                    <m:t>e</m:t>
                  </m:r>
                </m:e>
                <m:sub>
                  <m:r>
                    <w:rPr>
                      <w:rFonts w:ascii="Cambria Math" w:hAnsi="Cambria Math"/>
                      <w:szCs w:val="18"/>
                    </w:rPr>
                    <m:t>dt</m:t>
                  </m:r>
                </m:sub>
              </m:sSub>
              <m:r>
                <m:rPr>
                  <m:sty m:val="p"/>
                </m:rPr>
                <w:rPr>
                  <w:rFonts w:ascii="Cambria Math" w:hAnsi="Cambria Math"/>
                  <w:szCs w:val="18"/>
                </w:rPr>
                <m:t xml:space="preserve">,  </m:t>
              </m:r>
              <m:r>
                <w:rPr>
                  <w:rFonts w:ascii="Cambria Math" w:hAnsi="Cambria Math"/>
                  <w:szCs w:val="18"/>
                </w:rPr>
                <m:t>t</m:t>
              </m:r>
              <m:r>
                <m:rPr>
                  <m:sty m:val="p"/>
                </m:rPr>
                <w:rPr>
                  <w:rFonts w:ascii="Cambria Math" w:hAnsi="Cambria Math"/>
                  <w:szCs w:val="18"/>
                </w:rPr>
                <m:t>={1</m:t>
              </m:r>
            </m:oMath>
            <w:r w:rsidR="00A61B6E" w:rsidRPr="00834177">
              <w:rPr>
                <w:rFonts w:ascii="Cambria Math" w:hAnsi="Cambria Math"/>
                <w:szCs w:val="18"/>
              </w:rPr>
              <w:t>, 2, 3 … 24}</w:t>
            </w:r>
          </w:p>
        </w:tc>
      </w:tr>
      <w:tr w:rsidR="00A61B6E" w:rsidRPr="004B2E41" w:rsidTr="00A61B6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61B6E" w:rsidRPr="00EB078C" w:rsidRDefault="00A61B6E" w:rsidP="00A61B6E">
            <w:pPr>
              <w:pStyle w:val="TableText"/>
            </w:pPr>
            <w:r>
              <w:t>3</w:t>
            </w:r>
          </w:p>
        </w:tc>
        <w:tc>
          <w:tcPr>
            <w:tcW w:w="8234" w:type="dxa"/>
            <w:tcBorders>
              <w:top w:val="nil"/>
              <w:left w:val="nil"/>
              <w:bottom w:val="single" w:sz="4" w:space="0" w:color="auto"/>
              <w:right w:val="single" w:sz="4" w:space="0" w:color="auto"/>
            </w:tcBorders>
            <w:shd w:val="clear" w:color="auto" w:fill="auto"/>
            <w:noWrap/>
            <w:vAlign w:val="center"/>
            <w:hideMark/>
          </w:tcPr>
          <w:p w:rsidR="00A61B6E" w:rsidRPr="00834177" w:rsidRDefault="00010384" w:rsidP="00A61B6E">
            <w:pPr>
              <w:pStyle w:val="BodyParagraph"/>
              <w:jc w:val="center"/>
              <w:rPr>
                <w:rFonts w:ascii="Cambria Math" w:hAnsi="Cambria Math"/>
                <w:szCs w:val="18"/>
              </w:rPr>
            </w:pPr>
            <m:oMath>
              <m:sSub>
                <m:sSubPr>
                  <m:ctrlPr>
                    <w:rPr>
                      <w:rFonts w:ascii="Cambria Math" w:hAnsi="Cambria Math"/>
                      <w:szCs w:val="18"/>
                    </w:rPr>
                  </m:ctrlPr>
                </m:sSubPr>
                <m:e>
                  <m:r>
                    <w:rPr>
                      <w:rFonts w:ascii="Cambria Math" w:hAnsi="Cambria Math"/>
                      <w:szCs w:val="18"/>
                    </w:rPr>
                    <m:t>kW</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a</m:t>
              </m:r>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i</m:t>
                      </m:r>
                      <m:r>
                        <m:rPr>
                          <m:sty m:val="p"/>
                        </m:rPr>
                        <w:rPr>
                          <w:rFonts w:ascii="Cambria Math" w:hAnsi="Cambria Math"/>
                          <w:szCs w:val="18"/>
                        </w:rPr>
                        <m:t>=2010</m:t>
                      </m:r>
                    </m:sub>
                    <m:sup>
                      <m:r>
                        <m:rPr>
                          <m:sty m:val="p"/>
                        </m:rPr>
                        <w:rPr>
                          <w:rFonts w:ascii="Cambria Math" w:hAnsi="Cambria Math"/>
                          <w:szCs w:val="18"/>
                        </w:rPr>
                        <m:t>2012</m:t>
                      </m:r>
                    </m:sup>
                    <m:e>
                      <m:sSub>
                        <m:sSubPr>
                          <m:ctrlPr>
                            <w:rPr>
                              <w:rFonts w:ascii="Cambria Math" w:hAnsi="Cambria Math"/>
                              <w:szCs w:val="18"/>
                            </w:rPr>
                          </m:ctrlPr>
                        </m:sSubPr>
                        <m:e>
                          <m:r>
                            <w:rPr>
                              <w:rFonts w:ascii="Cambria Math" w:hAnsi="Cambria Math"/>
                              <w:szCs w:val="18"/>
                            </w:rPr>
                            <m:t>b</m:t>
                          </m:r>
                        </m:e>
                        <m:sub>
                          <m:r>
                            <w:rPr>
                              <w:rFonts w:ascii="Cambria Math" w:hAnsi="Cambria Math"/>
                              <w:szCs w:val="18"/>
                            </w:rPr>
                            <m:t>i</m:t>
                          </m:r>
                        </m:sub>
                      </m:sSub>
                    </m:e>
                  </m:nary>
                  <m:r>
                    <m:rPr>
                      <m:sty m:val="p"/>
                    </m:rPr>
                    <w:rPr>
                      <w:rFonts w:ascii="Cambria Math" w:hAnsi="Cambria Math"/>
                      <w:szCs w:val="18"/>
                    </w:rPr>
                    <m:t>*</m:t>
                  </m:r>
                  <m:r>
                    <w:rPr>
                      <w:rFonts w:ascii="Cambria Math" w:hAnsi="Cambria Math"/>
                      <w:szCs w:val="18"/>
                    </w:rPr>
                    <m:t>year</m:t>
                  </m:r>
                </m:e>
                <m:sub>
                  <m:r>
                    <w:rPr>
                      <w:rFonts w:ascii="Cambria Math" w:hAnsi="Cambria Math"/>
                      <w:szCs w:val="18"/>
                    </w:rPr>
                    <m:t>dti</m:t>
                  </m:r>
                </m:sub>
              </m:sSub>
              <m:r>
                <m:rPr>
                  <m:sty m:val="p"/>
                </m:rPr>
                <w:rPr>
                  <w:rFonts w:ascii="Cambria Math" w:hAnsi="Cambria Math"/>
                  <w:szCs w:val="18"/>
                </w:rPr>
                <m:t>+</m:t>
              </m:r>
              <m:r>
                <w:rPr>
                  <w:rFonts w:ascii="Cambria Math" w:hAnsi="Cambria Math"/>
                  <w:szCs w:val="18"/>
                </w:rPr>
                <m:t>c</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season</m:t>
                  </m:r>
                </m:e>
                <m:sub>
                  <m:r>
                    <w:rPr>
                      <w:rFonts w:ascii="Cambria Math" w:hAnsi="Cambria Math"/>
                      <w:szCs w:val="18"/>
                    </w:rPr>
                    <m:t>dt</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j</m:t>
                      </m:r>
                      <m:r>
                        <m:rPr>
                          <m:sty m:val="p"/>
                        </m:rPr>
                        <w:rPr>
                          <w:rFonts w:ascii="Cambria Math" w:hAnsi="Cambria Math"/>
                          <w:szCs w:val="18"/>
                        </w:rPr>
                        <m:t>=2</m:t>
                      </m:r>
                    </m:sub>
                    <m:sup>
                      <m:r>
                        <m:rPr>
                          <m:sty m:val="p"/>
                        </m:rPr>
                        <w:rPr>
                          <w:rFonts w:ascii="Cambria Math" w:hAnsi="Cambria Math"/>
                          <w:szCs w:val="18"/>
                        </w:rPr>
                        <m:t>12</m:t>
                      </m:r>
                    </m:sup>
                    <m:e>
                      <m:sSub>
                        <m:sSubPr>
                          <m:ctrlPr>
                            <w:rPr>
                              <w:rFonts w:ascii="Cambria Math" w:hAnsi="Cambria Math"/>
                              <w:szCs w:val="18"/>
                            </w:rPr>
                          </m:ctrlPr>
                        </m:sSubPr>
                        <m:e>
                          <m:r>
                            <w:rPr>
                              <w:rFonts w:ascii="Cambria Math" w:hAnsi="Cambria Math"/>
                              <w:szCs w:val="18"/>
                            </w:rPr>
                            <m:t>d</m:t>
                          </m:r>
                        </m:e>
                        <m:sub>
                          <m:r>
                            <w:rPr>
                              <w:rFonts w:ascii="Cambria Math" w:hAnsi="Cambria Math"/>
                              <w:szCs w:val="18"/>
                            </w:rPr>
                            <m:t>j</m:t>
                          </m:r>
                        </m:sub>
                      </m:sSub>
                      <m:r>
                        <m:rPr>
                          <m:sty m:val="p"/>
                        </m:rPr>
                        <w:rPr>
                          <w:rFonts w:ascii="Cambria Math" w:hAnsi="Cambria Math"/>
                          <w:szCs w:val="18"/>
                        </w:rPr>
                        <m:t>*</m:t>
                      </m:r>
                    </m:e>
                  </m:nary>
                  <m:r>
                    <w:rPr>
                      <w:rFonts w:ascii="Cambria Math" w:hAnsi="Cambria Math"/>
                      <w:szCs w:val="18"/>
                    </w:rPr>
                    <m:t>month</m:t>
                  </m:r>
                </m:e>
                <m:sub>
                  <m:r>
                    <w:rPr>
                      <w:rFonts w:ascii="Cambria Math" w:hAnsi="Cambria Math"/>
                      <w:szCs w:val="18"/>
                    </w:rPr>
                    <m:t>dtj</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k</m:t>
                      </m:r>
                      <m:r>
                        <m:rPr>
                          <m:sty m:val="p"/>
                        </m:rPr>
                        <w:rPr>
                          <w:rFonts w:ascii="Cambria Math" w:hAnsi="Cambria Math"/>
                          <w:szCs w:val="18"/>
                        </w:rPr>
                        <m:t>=2</m:t>
                      </m:r>
                    </m:sub>
                    <m:sup>
                      <m:r>
                        <m:rPr>
                          <m:sty m:val="p"/>
                        </m:rPr>
                        <w:rPr>
                          <w:rFonts w:ascii="Cambria Math" w:hAnsi="Cambria Math"/>
                          <w:szCs w:val="18"/>
                        </w:rPr>
                        <m:t>5</m:t>
                      </m:r>
                    </m:sup>
                    <m:e>
                      <m:sSub>
                        <m:sSubPr>
                          <m:ctrlPr>
                            <w:rPr>
                              <w:rFonts w:ascii="Cambria Math" w:hAnsi="Cambria Math"/>
                              <w:szCs w:val="18"/>
                            </w:rPr>
                          </m:ctrlPr>
                        </m:sSubPr>
                        <m:e>
                          <m:r>
                            <w:rPr>
                              <w:rFonts w:ascii="Cambria Math" w:hAnsi="Cambria Math"/>
                              <w:szCs w:val="18"/>
                            </w:rPr>
                            <m:t>e</m:t>
                          </m:r>
                        </m:e>
                        <m:sub>
                          <m:r>
                            <w:rPr>
                              <w:rFonts w:ascii="Cambria Math" w:hAnsi="Cambria Math"/>
                              <w:szCs w:val="18"/>
                            </w:rPr>
                            <m:t>k</m:t>
                          </m:r>
                        </m:sub>
                      </m:sSub>
                      <m:r>
                        <m:rPr>
                          <m:sty m:val="p"/>
                        </m:rPr>
                        <w:rPr>
                          <w:rFonts w:ascii="Cambria Math" w:hAnsi="Cambria Math"/>
                          <w:szCs w:val="18"/>
                        </w:rPr>
                        <m:t>*</m:t>
                      </m:r>
                    </m:e>
                  </m:nary>
                  <m:r>
                    <w:rPr>
                      <w:rFonts w:ascii="Cambria Math" w:hAnsi="Cambria Math"/>
                      <w:szCs w:val="18"/>
                    </w:rPr>
                    <m:t>daytype</m:t>
                  </m:r>
                </m:e>
                <m:sub>
                  <m:r>
                    <w:rPr>
                      <w:rFonts w:ascii="Cambria Math" w:hAnsi="Cambria Math"/>
                      <w:szCs w:val="18"/>
                    </w:rPr>
                    <m:t>dtk</m:t>
                  </m:r>
                </m:sub>
              </m:sSub>
              <m:sSub>
                <m:sSubPr>
                  <m:ctrlPr>
                    <w:rPr>
                      <w:rFonts w:ascii="Cambria Math" w:hAnsi="Cambria Math"/>
                      <w:szCs w:val="18"/>
                    </w:rPr>
                  </m:ctrlPr>
                </m:sSubPr>
                <m:e>
                  <m:r>
                    <m:rPr>
                      <m:sty m:val="p"/>
                    </m:rPr>
                    <w:rPr>
                      <w:rFonts w:ascii="Cambria Math" w:hAnsi="Cambria Math"/>
                      <w:szCs w:val="18"/>
                    </w:rPr>
                    <m:t>+</m:t>
                  </m:r>
                  <m:r>
                    <w:rPr>
                      <w:rFonts w:ascii="Cambria Math" w:hAnsi="Cambria Math"/>
                      <w:szCs w:val="18"/>
                    </w:rPr>
                    <m:t>f</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overnightcdh</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g</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cdh</m:t>
                      </m:r>
                    </m:e>
                    <m:sub>
                      <m:r>
                        <w:rPr>
                          <w:rFonts w:ascii="Cambria Math" w:hAnsi="Cambria Math"/>
                          <w:szCs w:val="18"/>
                        </w:rPr>
                        <m:t>dt</m:t>
                      </m:r>
                    </m:sub>
                  </m:sSub>
                  <m:r>
                    <m:rPr>
                      <m:sty m:val="p"/>
                    </m:rPr>
                    <w:rPr>
                      <w:rFonts w:ascii="Cambria Math" w:hAnsi="Cambria Math"/>
                      <w:szCs w:val="18"/>
                    </w:rPr>
                    <m:t>+</m:t>
                  </m:r>
                  <m:nary>
                    <m:naryPr>
                      <m:chr m:val="∑"/>
                      <m:limLoc m:val="undOvr"/>
                      <m:ctrlPr>
                        <w:rPr>
                          <w:rFonts w:ascii="Cambria Math" w:hAnsi="Cambria Math"/>
                          <w:szCs w:val="18"/>
                        </w:rPr>
                      </m:ctrlPr>
                    </m:naryPr>
                    <m:sub>
                      <m:r>
                        <w:rPr>
                          <w:rFonts w:ascii="Cambria Math" w:hAnsi="Cambria Math"/>
                          <w:szCs w:val="18"/>
                        </w:rPr>
                        <m:t>l</m:t>
                      </m:r>
                      <m:r>
                        <m:rPr>
                          <m:sty m:val="p"/>
                        </m:rPr>
                        <w:rPr>
                          <w:rFonts w:ascii="Cambria Math" w:hAnsi="Cambria Math"/>
                          <w:szCs w:val="18"/>
                        </w:rPr>
                        <m:t>=1</m:t>
                      </m:r>
                    </m:sub>
                    <m:sup>
                      <m:r>
                        <m:rPr>
                          <m:sty m:val="p"/>
                        </m:rPr>
                        <w:rPr>
                          <w:rFonts w:ascii="Cambria Math" w:hAnsi="Cambria Math"/>
                          <w:szCs w:val="18"/>
                        </w:rPr>
                        <m:t>n</m:t>
                      </m:r>
                    </m:sup>
                    <m:e>
                      <m:sSub>
                        <m:sSubPr>
                          <m:ctrlPr>
                            <w:rPr>
                              <w:rFonts w:ascii="Cambria Math" w:hAnsi="Cambria Math"/>
                              <w:szCs w:val="18"/>
                            </w:rPr>
                          </m:ctrlPr>
                        </m:sSubPr>
                        <m:e>
                          <m:r>
                            <w:rPr>
                              <w:rFonts w:ascii="Cambria Math" w:hAnsi="Cambria Math"/>
                              <w:szCs w:val="18"/>
                            </w:rPr>
                            <m:t>h</m:t>
                          </m:r>
                        </m:e>
                        <m:sub>
                          <m:r>
                            <w:rPr>
                              <w:rFonts w:ascii="Cambria Math" w:hAnsi="Cambria Math"/>
                              <w:szCs w:val="18"/>
                            </w:rPr>
                            <m:t>l</m:t>
                          </m:r>
                        </m:sub>
                      </m:sSub>
                    </m:e>
                  </m:nary>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eventday</m:t>
                      </m:r>
                    </m:e>
                    <m:sub>
                      <m:r>
                        <w:rPr>
                          <w:rFonts w:ascii="Cambria Math" w:hAnsi="Cambria Math"/>
                          <w:szCs w:val="18"/>
                        </w:rPr>
                        <m:t>dtl</m:t>
                      </m:r>
                    </m:sub>
                  </m:sSub>
                  <m:r>
                    <m:rPr>
                      <m:sty m:val="p"/>
                    </m:rPr>
                    <w:rPr>
                      <w:rFonts w:ascii="Cambria Math" w:hAnsi="Cambria Math"/>
                      <w:szCs w:val="18"/>
                    </w:rPr>
                    <m:t>+</m:t>
                  </m:r>
                  <m:r>
                    <w:rPr>
                      <w:rFonts w:ascii="Cambria Math" w:hAnsi="Cambria Math"/>
                      <w:szCs w:val="18"/>
                    </w:rPr>
                    <m:t>e</m:t>
                  </m:r>
                </m:e>
                <m:sub>
                  <m:r>
                    <w:rPr>
                      <w:rFonts w:ascii="Cambria Math" w:hAnsi="Cambria Math"/>
                      <w:szCs w:val="18"/>
                    </w:rPr>
                    <m:t>dt</m:t>
                  </m:r>
                </m:sub>
              </m:sSub>
              <m:r>
                <m:rPr>
                  <m:sty m:val="p"/>
                </m:rPr>
                <w:rPr>
                  <w:rFonts w:ascii="Cambria Math" w:hAnsi="Cambria Math"/>
                  <w:szCs w:val="18"/>
                </w:rPr>
                <m:t xml:space="preserve">,  </m:t>
              </m:r>
              <m:r>
                <w:rPr>
                  <w:rFonts w:ascii="Cambria Math" w:hAnsi="Cambria Math"/>
                  <w:szCs w:val="18"/>
                </w:rPr>
                <m:t>t</m:t>
              </m:r>
              <m:r>
                <m:rPr>
                  <m:sty m:val="p"/>
                </m:rPr>
                <w:rPr>
                  <w:rFonts w:ascii="Cambria Math" w:hAnsi="Cambria Math"/>
                  <w:szCs w:val="18"/>
                </w:rPr>
                <m:t>={1</m:t>
              </m:r>
            </m:oMath>
            <w:r w:rsidR="00A61B6E" w:rsidRPr="00834177">
              <w:rPr>
                <w:rFonts w:ascii="Cambria Math" w:hAnsi="Cambria Math"/>
                <w:szCs w:val="18"/>
              </w:rPr>
              <w:t>, 2, 3 … 24}</w:t>
            </w:r>
          </w:p>
        </w:tc>
      </w:tr>
      <w:tr w:rsidR="00A61B6E" w:rsidRPr="004B2E41" w:rsidTr="00A61B6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61B6E" w:rsidRPr="00EB078C" w:rsidRDefault="00A61B6E" w:rsidP="00A61B6E">
            <w:pPr>
              <w:pStyle w:val="TableText"/>
            </w:pPr>
            <w:r>
              <w:t>4</w:t>
            </w:r>
          </w:p>
        </w:tc>
        <w:tc>
          <w:tcPr>
            <w:tcW w:w="8234" w:type="dxa"/>
            <w:tcBorders>
              <w:top w:val="nil"/>
              <w:left w:val="nil"/>
              <w:bottom w:val="single" w:sz="4" w:space="0" w:color="auto"/>
              <w:right w:val="single" w:sz="4" w:space="0" w:color="auto"/>
            </w:tcBorders>
            <w:shd w:val="clear" w:color="auto" w:fill="auto"/>
            <w:noWrap/>
            <w:vAlign w:val="center"/>
            <w:hideMark/>
          </w:tcPr>
          <w:p w:rsidR="00A61B6E" w:rsidRPr="00834177" w:rsidRDefault="00010384" w:rsidP="00A61B6E">
            <w:pPr>
              <w:pStyle w:val="BodyParagraph"/>
              <w:jc w:val="center"/>
              <w:rPr>
                <w:rFonts w:ascii="Cambria Math" w:hAnsi="Cambria Math"/>
                <w:szCs w:val="18"/>
              </w:rPr>
            </w:pPr>
            <m:oMath>
              <m:sSub>
                <m:sSubPr>
                  <m:ctrlPr>
                    <w:rPr>
                      <w:rFonts w:ascii="Cambria Math" w:hAnsi="Cambria Math"/>
                      <w:szCs w:val="18"/>
                    </w:rPr>
                  </m:ctrlPr>
                </m:sSubPr>
                <m:e>
                  <m:r>
                    <w:rPr>
                      <w:rFonts w:ascii="Cambria Math" w:hAnsi="Cambria Math"/>
                      <w:szCs w:val="18"/>
                    </w:rPr>
                    <m:t>kW</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a</m:t>
              </m:r>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i</m:t>
                      </m:r>
                      <m:r>
                        <m:rPr>
                          <m:sty m:val="p"/>
                        </m:rPr>
                        <w:rPr>
                          <w:rFonts w:ascii="Cambria Math" w:hAnsi="Cambria Math"/>
                          <w:szCs w:val="18"/>
                        </w:rPr>
                        <m:t>=2010</m:t>
                      </m:r>
                    </m:sub>
                    <m:sup>
                      <m:r>
                        <m:rPr>
                          <m:sty m:val="p"/>
                        </m:rPr>
                        <w:rPr>
                          <w:rFonts w:ascii="Cambria Math" w:hAnsi="Cambria Math"/>
                          <w:szCs w:val="18"/>
                        </w:rPr>
                        <m:t>2012</m:t>
                      </m:r>
                    </m:sup>
                    <m:e>
                      <m:sSub>
                        <m:sSubPr>
                          <m:ctrlPr>
                            <w:rPr>
                              <w:rFonts w:ascii="Cambria Math" w:hAnsi="Cambria Math"/>
                              <w:szCs w:val="18"/>
                            </w:rPr>
                          </m:ctrlPr>
                        </m:sSubPr>
                        <m:e>
                          <m:r>
                            <w:rPr>
                              <w:rFonts w:ascii="Cambria Math" w:hAnsi="Cambria Math"/>
                              <w:szCs w:val="18"/>
                            </w:rPr>
                            <m:t>b</m:t>
                          </m:r>
                        </m:e>
                        <m:sub>
                          <m:r>
                            <w:rPr>
                              <w:rFonts w:ascii="Cambria Math" w:hAnsi="Cambria Math"/>
                              <w:szCs w:val="18"/>
                            </w:rPr>
                            <m:t>i</m:t>
                          </m:r>
                        </m:sub>
                      </m:sSub>
                    </m:e>
                  </m:nary>
                  <m:r>
                    <m:rPr>
                      <m:sty m:val="p"/>
                    </m:rPr>
                    <w:rPr>
                      <w:rFonts w:ascii="Cambria Math" w:hAnsi="Cambria Math"/>
                      <w:szCs w:val="18"/>
                    </w:rPr>
                    <m:t>*</m:t>
                  </m:r>
                  <m:r>
                    <w:rPr>
                      <w:rFonts w:ascii="Cambria Math" w:hAnsi="Cambria Math"/>
                      <w:szCs w:val="18"/>
                    </w:rPr>
                    <m:t>year</m:t>
                  </m:r>
                </m:e>
                <m:sub>
                  <m:r>
                    <w:rPr>
                      <w:rFonts w:ascii="Cambria Math" w:hAnsi="Cambria Math"/>
                      <w:szCs w:val="18"/>
                    </w:rPr>
                    <m:t>dti</m:t>
                  </m:r>
                </m:sub>
              </m:sSub>
              <m:r>
                <m:rPr>
                  <m:sty m:val="p"/>
                </m:rPr>
                <w:rPr>
                  <w:rFonts w:ascii="Cambria Math" w:hAnsi="Cambria Math"/>
                  <w:szCs w:val="18"/>
                </w:rPr>
                <m:t>+</m:t>
              </m:r>
              <m:r>
                <w:rPr>
                  <w:rFonts w:ascii="Cambria Math" w:hAnsi="Cambria Math"/>
                  <w:szCs w:val="18"/>
                </w:rPr>
                <m:t>c</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season</m:t>
                  </m:r>
                </m:e>
                <m:sub>
                  <m:r>
                    <w:rPr>
                      <w:rFonts w:ascii="Cambria Math" w:hAnsi="Cambria Math"/>
                      <w:szCs w:val="18"/>
                    </w:rPr>
                    <m:t>dt</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j</m:t>
                      </m:r>
                      <m:r>
                        <m:rPr>
                          <m:sty m:val="p"/>
                        </m:rPr>
                        <w:rPr>
                          <w:rFonts w:ascii="Cambria Math" w:hAnsi="Cambria Math"/>
                          <w:szCs w:val="18"/>
                        </w:rPr>
                        <m:t>=2</m:t>
                      </m:r>
                    </m:sub>
                    <m:sup>
                      <m:r>
                        <m:rPr>
                          <m:sty m:val="p"/>
                        </m:rPr>
                        <w:rPr>
                          <w:rFonts w:ascii="Cambria Math" w:hAnsi="Cambria Math"/>
                          <w:szCs w:val="18"/>
                        </w:rPr>
                        <m:t>12</m:t>
                      </m:r>
                    </m:sup>
                    <m:e>
                      <m:sSub>
                        <m:sSubPr>
                          <m:ctrlPr>
                            <w:rPr>
                              <w:rFonts w:ascii="Cambria Math" w:hAnsi="Cambria Math"/>
                              <w:szCs w:val="18"/>
                            </w:rPr>
                          </m:ctrlPr>
                        </m:sSubPr>
                        <m:e>
                          <m:r>
                            <w:rPr>
                              <w:rFonts w:ascii="Cambria Math" w:hAnsi="Cambria Math"/>
                              <w:szCs w:val="18"/>
                            </w:rPr>
                            <m:t>d</m:t>
                          </m:r>
                        </m:e>
                        <m:sub>
                          <m:r>
                            <w:rPr>
                              <w:rFonts w:ascii="Cambria Math" w:hAnsi="Cambria Math"/>
                              <w:szCs w:val="18"/>
                            </w:rPr>
                            <m:t>j</m:t>
                          </m:r>
                        </m:sub>
                      </m:sSub>
                      <m:r>
                        <m:rPr>
                          <m:sty m:val="p"/>
                        </m:rPr>
                        <w:rPr>
                          <w:rFonts w:ascii="Cambria Math" w:hAnsi="Cambria Math"/>
                          <w:szCs w:val="18"/>
                        </w:rPr>
                        <m:t>*</m:t>
                      </m:r>
                    </m:e>
                  </m:nary>
                  <m:r>
                    <w:rPr>
                      <w:rFonts w:ascii="Cambria Math" w:hAnsi="Cambria Math"/>
                      <w:szCs w:val="18"/>
                    </w:rPr>
                    <m:t>month</m:t>
                  </m:r>
                </m:e>
                <m:sub>
                  <m:r>
                    <w:rPr>
                      <w:rFonts w:ascii="Cambria Math" w:hAnsi="Cambria Math"/>
                      <w:szCs w:val="18"/>
                    </w:rPr>
                    <m:t>dtj</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k</m:t>
                      </m:r>
                      <m:r>
                        <m:rPr>
                          <m:sty m:val="p"/>
                        </m:rPr>
                        <w:rPr>
                          <w:rFonts w:ascii="Cambria Math" w:hAnsi="Cambria Math"/>
                          <w:szCs w:val="18"/>
                        </w:rPr>
                        <m:t>=2</m:t>
                      </m:r>
                    </m:sub>
                    <m:sup>
                      <m:r>
                        <m:rPr>
                          <m:sty m:val="p"/>
                        </m:rPr>
                        <w:rPr>
                          <w:rFonts w:ascii="Cambria Math" w:hAnsi="Cambria Math"/>
                          <w:szCs w:val="18"/>
                        </w:rPr>
                        <m:t>5</m:t>
                      </m:r>
                    </m:sup>
                    <m:e>
                      <m:sSub>
                        <m:sSubPr>
                          <m:ctrlPr>
                            <w:rPr>
                              <w:rFonts w:ascii="Cambria Math" w:hAnsi="Cambria Math"/>
                              <w:szCs w:val="18"/>
                            </w:rPr>
                          </m:ctrlPr>
                        </m:sSubPr>
                        <m:e>
                          <m:r>
                            <w:rPr>
                              <w:rFonts w:ascii="Cambria Math" w:hAnsi="Cambria Math"/>
                              <w:szCs w:val="18"/>
                            </w:rPr>
                            <m:t>e</m:t>
                          </m:r>
                        </m:e>
                        <m:sub>
                          <m:r>
                            <w:rPr>
                              <w:rFonts w:ascii="Cambria Math" w:hAnsi="Cambria Math"/>
                              <w:szCs w:val="18"/>
                            </w:rPr>
                            <m:t>k</m:t>
                          </m:r>
                        </m:sub>
                      </m:sSub>
                      <m:r>
                        <m:rPr>
                          <m:sty m:val="p"/>
                        </m:rPr>
                        <w:rPr>
                          <w:rFonts w:ascii="Cambria Math" w:hAnsi="Cambria Math"/>
                          <w:szCs w:val="18"/>
                        </w:rPr>
                        <m:t>*</m:t>
                      </m:r>
                    </m:e>
                  </m:nary>
                  <m:r>
                    <w:rPr>
                      <w:rFonts w:ascii="Cambria Math" w:hAnsi="Cambria Math"/>
                      <w:szCs w:val="18"/>
                    </w:rPr>
                    <m:t>daytype</m:t>
                  </m:r>
                </m:e>
                <m:sub>
                  <m:r>
                    <w:rPr>
                      <w:rFonts w:ascii="Cambria Math" w:hAnsi="Cambria Math"/>
                      <w:szCs w:val="18"/>
                    </w:rPr>
                    <m:t>dtk</m:t>
                  </m:r>
                </m:sub>
              </m:sSub>
              <m:sSub>
                <m:sSubPr>
                  <m:ctrlPr>
                    <w:rPr>
                      <w:rFonts w:ascii="Cambria Math" w:hAnsi="Cambria Math"/>
                      <w:szCs w:val="18"/>
                    </w:rPr>
                  </m:ctrlPr>
                </m:sSubPr>
                <m:e>
                  <m:r>
                    <m:rPr>
                      <m:sty m:val="p"/>
                    </m:rPr>
                    <w:rPr>
                      <w:rFonts w:ascii="Cambria Math" w:hAnsi="Cambria Math"/>
                      <w:szCs w:val="18"/>
                    </w:rPr>
                    <m:t>+</m:t>
                  </m:r>
                  <m:r>
                    <w:rPr>
                      <w:rFonts w:ascii="Cambria Math" w:hAnsi="Cambria Math"/>
                      <w:szCs w:val="18"/>
                    </w:rPr>
                    <m:t>f</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cdh</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g</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cdhsqr</m:t>
                      </m:r>
                    </m:e>
                    <m:sub>
                      <m:r>
                        <w:rPr>
                          <w:rFonts w:ascii="Cambria Math" w:hAnsi="Cambria Math"/>
                          <w:szCs w:val="18"/>
                        </w:rPr>
                        <m:t>dt</m:t>
                      </m:r>
                    </m:sub>
                  </m:sSub>
                  <m:r>
                    <m:rPr>
                      <m:sty m:val="p"/>
                    </m:rPr>
                    <w:rPr>
                      <w:rFonts w:ascii="Cambria Math" w:hAnsi="Cambria Math"/>
                      <w:szCs w:val="18"/>
                    </w:rPr>
                    <m:t>+</m:t>
                  </m:r>
                  <m:nary>
                    <m:naryPr>
                      <m:chr m:val="∑"/>
                      <m:limLoc m:val="undOvr"/>
                      <m:ctrlPr>
                        <w:rPr>
                          <w:rFonts w:ascii="Cambria Math" w:hAnsi="Cambria Math"/>
                          <w:szCs w:val="18"/>
                        </w:rPr>
                      </m:ctrlPr>
                    </m:naryPr>
                    <m:sub>
                      <m:r>
                        <w:rPr>
                          <w:rFonts w:ascii="Cambria Math" w:hAnsi="Cambria Math"/>
                          <w:szCs w:val="18"/>
                        </w:rPr>
                        <m:t>l</m:t>
                      </m:r>
                      <m:r>
                        <m:rPr>
                          <m:sty m:val="p"/>
                        </m:rPr>
                        <w:rPr>
                          <w:rFonts w:ascii="Cambria Math" w:hAnsi="Cambria Math"/>
                          <w:szCs w:val="18"/>
                        </w:rPr>
                        <m:t>=1</m:t>
                      </m:r>
                    </m:sub>
                    <m:sup>
                      <m:r>
                        <m:rPr>
                          <m:sty m:val="p"/>
                        </m:rPr>
                        <w:rPr>
                          <w:rFonts w:ascii="Cambria Math" w:hAnsi="Cambria Math"/>
                          <w:szCs w:val="18"/>
                        </w:rPr>
                        <m:t>n</m:t>
                      </m:r>
                    </m:sup>
                    <m:e>
                      <m:sSub>
                        <m:sSubPr>
                          <m:ctrlPr>
                            <w:rPr>
                              <w:rFonts w:ascii="Cambria Math" w:hAnsi="Cambria Math"/>
                              <w:szCs w:val="18"/>
                            </w:rPr>
                          </m:ctrlPr>
                        </m:sSubPr>
                        <m:e>
                          <m:r>
                            <w:rPr>
                              <w:rFonts w:ascii="Cambria Math" w:hAnsi="Cambria Math"/>
                              <w:szCs w:val="18"/>
                            </w:rPr>
                            <m:t>h</m:t>
                          </m:r>
                        </m:e>
                        <m:sub>
                          <m:r>
                            <w:rPr>
                              <w:rFonts w:ascii="Cambria Math" w:hAnsi="Cambria Math"/>
                              <w:szCs w:val="18"/>
                            </w:rPr>
                            <m:t>l</m:t>
                          </m:r>
                        </m:sub>
                      </m:sSub>
                    </m:e>
                  </m:nary>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eventday</m:t>
                      </m:r>
                    </m:e>
                    <m:sub>
                      <m:r>
                        <w:rPr>
                          <w:rFonts w:ascii="Cambria Math" w:hAnsi="Cambria Math"/>
                          <w:szCs w:val="18"/>
                        </w:rPr>
                        <m:t>dtl</m:t>
                      </m:r>
                    </m:sub>
                  </m:sSub>
                  <m:r>
                    <m:rPr>
                      <m:sty m:val="p"/>
                    </m:rPr>
                    <w:rPr>
                      <w:rFonts w:ascii="Cambria Math" w:hAnsi="Cambria Math"/>
                      <w:szCs w:val="18"/>
                    </w:rPr>
                    <m:t>+</m:t>
                  </m:r>
                  <m:r>
                    <w:rPr>
                      <w:rFonts w:ascii="Cambria Math" w:hAnsi="Cambria Math"/>
                      <w:szCs w:val="18"/>
                    </w:rPr>
                    <m:t>e</m:t>
                  </m:r>
                </m:e>
                <m:sub>
                  <m:r>
                    <w:rPr>
                      <w:rFonts w:ascii="Cambria Math" w:hAnsi="Cambria Math"/>
                      <w:szCs w:val="18"/>
                    </w:rPr>
                    <m:t>dt</m:t>
                  </m:r>
                </m:sub>
              </m:sSub>
              <m:r>
                <m:rPr>
                  <m:sty m:val="p"/>
                </m:rPr>
                <w:rPr>
                  <w:rFonts w:ascii="Cambria Math" w:hAnsi="Cambria Math"/>
                  <w:szCs w:val="18"/>
                </w:rPr>
                <m:t xml:space="preserve">,  </m:t>
              </m:r>
              <m:r>
                <w:rPr>
                  <w:rFonts w:ascii="Cambria Math" w:hAnsi="Cambria Math"/>
                  <w:szCs w:val="18"/>
                </w:rPr>
                <m:t>t</m:t>
              </m:r>
              <m:r>
                <m:rPr>
                  <m:sty m:val="p"/>
                </m:rPr>
                <w:rPr>
                  <w:rFonts w:ascii="Cambria Math" w:hAnsi="Cambria Math"/>
                  <w:szCs w:val="18"/>
                </w:rPr>
                <m:t>={1</m:t>
              </m:r>
            </m:oMath>
            <w:r w:rsidR="00A61B6E" w:rsidRPr="00834177">
              <w:rPr>
                <w:rFonts w:ascii="Cambria Math" w:hAnsi="Cambria Math"/>
                <w:szCs w:val="18"/>
              </w:rPr>
              <w:t>, 2, 3 … 24}</w:t>
            </w:r>
          </w:p>
        </w:tc>
      </w:tr>
      <w:tr w:rsidR="00A61B6E" w:rsidRPr="004B2E41" w:rsidTr="00A61B6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61B6E" w:rsidRPr="00EB078C" w:rsidRDefault="00A61B6E" w:rsidP="00A61B6E">
            <w:pPr>
              <w:pStyle w:val="TableText"/>
            </w:pPr>
            <w:r>
              <w:t>5</w:t>
            </w:r>
          </w:p>
        </w:tc>
        <w:tc>
          <w:tcPr>
            <w:tcW w:w="8234" w:type="dxa"/>
            <w:tcBorders>
              <w:top w:val="nil"/>
              <w:left w:val="nil"/>
              <w:bottom w:val="single" w:sz="4" w:space="0" w:color="auto"/>
              <w:right w:val="single" w:sz="4" w:space="0" w:color="auto"/>
            </w:tcBorders>
            <w:shd w:val="clear" w:color="auto" w:fill="auto"/>
            <w:noWrap/>
            <w:vAlign w:val="center"/>
            <w:hideMark/>
          </w:tcPr>
          <w:p w:rsidR="00A61B6E" w:rsidRPr="00834177" w:rsidRDefault="00010384" w:rsidP="00A61B6E">
            <w:pPr>
              <w:pStyle w:val="BodyParagraph"/>
              <w:jc w:val="center"/>
              <w:rPr>
                <w:rFonts w:ascii="Cambria Math" w:hAnsi="Cambria Math"/>
                <w:szCs w:val="18"/>
              </w:rPr>
            </w:pPr>
            <m:oMath>
              <m:sSub>
                <m:sSubPr>
                  <m:ctrlPr>
                    <w:rPr>
                      <w:rFonts w:ascii="Cambria Math" w:hAnsi="Cambria Math"/>
                      <w:szCs w:val="18"/>
                    </w:rPr>
                  </m:ctrlPr>
                </m:sSubPr>
                <m:e>
                  <m:r>
                    <w:rPr>
                      <w:rFonts w:ascii="Cambria Math" w:hAnsi="Cambria Math"/>
                      <w:szCs w:val="18"/>
                    </w:rPr>
                    <m:t>kW</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a</m:t>
              </m:r>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i</m:t>
                      </m:r>
                      <m:r>
                        <m:rPr>
                          <m:sty m:val="p"/>
                        </m:rPr>
                        <w:rPr>
                          <w:rFonts w:ascii="Cambria Math" w:hAnsi="Cambria Math"/>
                          <w:szCs w:val="18"/>
                        </w:rPr>
                        <m:t>=2010</m:t>
                      </m:r>
                    </m:sub>
                    <m:sup>
                      <m:r>
                        <m:rPr>
                          <m:sty m:val="p"/>
                        </m:rPr>
                        <w:rPr>
                          <w:rFonts w:ascii="Cambria Math" w:hAnsi="Cambria Math"/>
                          <w:szCs w:val="18"/>
                        </w:rPr>
                        <m:t>2012</m:t>
                      </m:r>
                    </m:sup>
                    <m:e>
                      <m:sSub>
                        <m:sSubPr>
                          <m:ctrlPr>
                            <w:rPr>
                              <w:rFonts w:ascii="Cambria Math" w:hAnsi="Cambria Math"/>
                              <w:szCs w:val="18"/>
                            </w:rPr>
                          </m:ctrlPr>
                        </m:sSubPr>
                        <m:e>
                          <m:r>
                            <w:rPr>
                              <w:rFonts w:ascii="Cambria Math" w:hAnsi="Cambria Math"/>
                              <w:szCs w:val="18"/>
                            </w:rPr>
                            <m:t>b</m:t>
                          </m:r>
                        </m:e>
                        <m:sub>
                          <m:r>
                            <w:rPr>
                              <w:rFonts w:ascii="Cambria Math" w:hAnsi="Cambria Math"/>
                              <w:szCs w:val="18"/>
                            </w:rPr>
                            <m:t>i</m:t>
                          </m:r>
                        </m:sub>
                      </m:sSub>
                    </m:e>
                  </m:nary>
                  <m:r>
                    <m:rPr>
                      <m:sty m:val="p"/>
                    </m:rPr>
                    <w:rPr>
                      <w:rFonts w:ascii="Cambria Math" w:hAnsi="Cambria Math"/>
                      <w:szCs w:val="18"/>
                    </w:rPr>
                    <m:t>*</m:t>
                  </m:r>
                  <m:r>
                    <w:rPr>
                      <w:rFonts w:ascii="Cambria Math" w:hAnsi="Cambria Math"/>
                      <w:szCs w:val="18"/>
                    </w:rPr>
                    <m:t>year</m:t>
                  </m:r>
                </m:e>
                <m:sub>
                  <m:r>
                    <w:rPr>
                      <w:rFonts w:ascii="Cambria Math" w:hAnsi="Cambria Math"/>
                      <w:szCs w:val="18"/>
                    </w:rPr>
                    <m:t>dti</m:t>
                  </m:r>
                </m:sub>
              </m:sSub>
              <m:r>
                <m:rPr>
                  <m:sty m:val="p"/>
                </m:rPr>
                <w:rPr>
                  <w:rFonts w:ascii="Cambria Math" w:hAnsi="Cambria Math"/>
                  <w:szCs w:val="18"/>
                </w:rPr>
                <m:t>+</m:t>
              </m:r>
              <m:r>
                <w:rPr>
                  <w:rFonts w:ascii="Cambria Math" w:hAnsi="Cambria Math"/>
                  <w:szCs w:val="18"/>
                </w:rPr>
                <m:t>c</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season</m:t>
                  </m:r>
                </m:e>
                <m:sub>
                  <m:r>
                    <w:rPr>
                      <w:rFonts w:ascii="Cambria Math" w:hAnsi="Cambria Math"/>
                      <w:szCs w:val="18"/>
                    </w:rPr>
                    <m:t>dt</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j</m:t>
                      </m:r>
                      <m:r>
                        <m:rPr>
                          <m:sty m:val="p"/>
                        </m:rPr>
                        <w:rPr>
                          <w:rFonts w:ascii="Cambria Math" w:hAnsi="Cambria Math"/>
                          <w:szCs w:val="18"/>
                        </w:rPr>
                        <m:t>=2</m:t>
                      </m:r>
                    </m:sub>
                    <m:sup>
                      <m:r>
                        <m:rPr>
                          <m:sty m:val="p"/>
                        </m:rPr>
                        <w:rPr>
                          <w:rFonts w:ascii="Cambria Math" w:hAnsi="Cambria Math"/>
                          <w:szCs w:val="18"/>
                        </w:rPr>
                        <m:t>12</m:t>
                      </m:r>
                    </m:sup>
                    <m:e>
                      <m:sSub>
                        <m:sSubPr>
                          <m:ctrlPr>
                            <w:rPr>
                              <w:rFonts w:ascii="Cambria Math" w:hAnsi="Cambria Math"/>
                              <w:szCs w:val="18"/>
                            </w:rPr>
                          </m:ctrlPr>
                        </m:sSubPr>
                        <m:e>
                          <m:r>
                            <w:rPr>
                              <w:rFonts w:ascii="Cambria Math" w:hAnsi="Cambria Math"/>
                              <w:szCs w:val="18"/>
                            </w:rPr>
                            <m:t>d</m:t>
                          </m:r>
                        </m:e>
                        <m:sub>
                          <m:r>
                            <w:rPr>
                              <w:rFonts w:ascii="Cambria Math" w:hAnsi="Cambria Math"/>
                              <w:szCs w:val="18"/>
                            </w:rPr>
                            <m:t>j</m:t>
                          </m:r>
                        </m:sub>
                      </m:sSub>
                      <m:r>
                        <m:rPr>
                          <m:sty m:val="p"/>
                        </m:rPr>
                        <w:rPr>
                          <w:rFonts w:ascii="Cambria Math" w:hAnsi="Cambria Math"/>
                          <w:szCs w:val="18"/>
                        </w:rPr>
                        <m:t>*</m:t>
                      </m:r>
                    </m:e>
                  </m:nary>
                  <m:r>
                    <w:rPr>
                      <w:rFonts w:ascii="Cambria Math" w:hAnsi="Cambria Math"/>
                      <w:szCs w:val="18"/>
                    </w:rPr>
                    <m:t>month</m:t>
                  </m:r>
                </m:e>
                <m:sub>
                  <m:r>
                    <w:rPr>
                      <w:rFonts w:ascii="Cambria Math" w:hAnsi="Cambria Math"/>
                      <w:szCs w:val="18"/>
                    </w:rPr>
                    <m:t>dtj</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k</m:t>
                      </m:r>
                      <m:r>
                        <m:rPr>
                          <m:sty m:val="p"/>
                        </m:rPr>
                        <w:rPr>
                          <w:rFonts w:ascii="Cambria Math" w:hAnsi="Cambria Math"/>
                          <w:szCs w:val="18"/>
                        </w:rPr>
                        <m:t>=2</m:t>
                      </m:r>
                    </m:sub>
                    <m:sup>
                      <m:r>
                        <m:rPr>
                          <m:sty m:val="p"/>
                        </m:rPr>
                        <w:rPr>
                          <w:rFonts w:ascii="Cambria Math" w:hAnsi="Cambria Math"/>
                          <w:szCs w:val="18"/>
                        </w:rPr>
                        <m:t>5</m:t>
                      </m:r>
                    </m:sup>
                    <m:e>
                      <m:sSub>
                        <m:sSubPr>
                          <m:ctrlPr>
                            <w:rPr>
                              <w:rFonts w:ascii="Cambria Math" w:hAnsi="Cambria Math"/>
                              <w:szCs w:val="18"/>
                            </w:rPr>
                          </m:ctrlPr>
                        </m:sSubPr>
                        <m:e>
                          <m:r>
                            <w:rPr>
                              <w:rFonts w:ascii="Cambria Math" w:hAnsi="Cambria Math"/>
                              <w:szCs w:val="18"/>
                            </w:rPr>
                            <m:t>e</m:t>
                          </m:r>
                        </m:e>
                        <m:sub>
                          <m:r>
                            <w:rPr>
                              <w:rFonts w:ascii="Cambria Math" w:hAnsi="Cambria Math"/>
                              <w:szCs w:val="18"/>
                            </w:rPr>
                            <m:t>k</m:t>
                          </m:r>
                        </m:sub>
                      </m:sSub>
                      <m:r>
                        <m:rPr>
                          <m:sty m:val="p"/>
                        </m:rPr>
                        <w:rPr>
                          <w:rFonts w:ascii="Cambria Math" w:hAnsi="Cambria Math"/>
                          <w:szCs w:val="18"/>
                        </w:rPr>
                        <m:t>*</m:t>
                      </m:r>
                    </m:e>
                  </m:nary>
                  <m:r>
                    <w:rPr>
                      <w:rFonts w:ascii="Cambria Math" w:hAnsi="Cambria Math"/>
                      <w:szCs w:val="18"/>
                    </w:rPr>
                    <m:t>daytype</m:t>
                  </m:r>
                </m:e>
                <m:sub>
                  <m:r>
                    <w:rPr>
                      <w:rFonts w:ascii="Cambria Math" w:hAnsi="Cambria Math"/>
                      <w:szCs w:val="18"/>
                    </w:rPr>
                    <m:t>dtk</m:t>
                  </m:r>
                </m:sub>
              </m:sSub>
              <m:sSub>
                <m:sSubPr>
                  <m:ctrlPr>
                    <w:rPr>
                      <w:rFonts w:ascii="Cambria Math" w:hAnsi="Cambria Math"/>
                      <w:szCs w:val="18"/>
                    </w:rPr>
                  </m:ctrlPr>
                </m:sSubPr>
                <m:e>
                  <m:r>
                    <m:rPr>
                      <m:sty m:val="p"/>
                    </m:rPr>
                    <w:rPr>
                      <w:rFonts w:ascii="Cambria Math" w:hAnsi="Cambria Math"/>
                      <w:szCs w:val="18"/>
                    </w:rPr>
                    <m:t>+</m:t>
                  </m:r>
                  <m:nary>
                    <m:naryPr>
                      <m:chr m:val="∑"/>
                      <m:limLoc m:val="undOvr"/>
                      <m:ctrlPr>
                        <w:rPr>
                          <w:rFonts w:ascii="Cambria Math" w:hAnsi="Cambria Math"/>
                          <w:szCs w:val="18"/>
                        </w:rPr>
                      </m:ctrlPr>
                    </m:naryPr>
                    <m:sub>
                      <m:r>
                        <w:rPr>
                          <w:rFonts w:ascii="Cambria Math" w:hAnsi="Cambria Math"/>
                          <w:szCs w:val="18"/>
                        </w:rPr>
                        <m:t>l</m:t>
                      </m:r>
                      <m:r>
                        <m:rPr>
                          <m:sty m:val="p"/>
                        </m:rPr>
                        <w:rPr>
                          <w:rFonts w:ascii="Cambria Math" w:hAnsi="Cambria Math"/>
                          <w:szCs w:val="18"/>
                        </w:rPr>
                        <m:t>=1</m:t>
                      </m:r>
                    </m:sub>
                    <m:sup>
                      <m:r>
                        <m:rPr>
                          <m:sty m:val="p"/>
                        </m:rPr>
                        <w:rPr>
                          <w:rFonts w:ascii="Cambria Math" w:hAnsi="Cambria Math"/>
                          <w:szCs w:val="18"/>
                        </w:rPr>
                        <m:t>n</m:t>
                      </m:r>
                    </m:sup>
                    <m:e>
                      <m:sSub>
                        <m:sSubPr>
                          <m:ctrlPr>
                            <w:rPr>
                              <w:rFonts w:ascii="Cambria Math" w:hAnsi="Cambria Math"/>
                              <w:szCs w:val="18"/>
                            </w:rPr>
                          </m:ctrlPr>
                        </m:sSubPr>
                        <m:e>
                          <m:r>
                            <w:rPr>
                              <w:rFonts w:ascii="Cambria Math" w:hAnsi="Cambria Math"/>
                              <w:szCs w:val="18"/>
                            </w:rPr>
                            <m:t>f</m:t>
                          </m:r>
                        </m:e>
                        <m:sub>
                          <m:r>
                            <w:rPr>
                              <w:rFonts w:ascii="Cambria Math" w:hAnsi="Cambria Math"/>
                              <w:szCs w:val="18"/>
                            </w:rPr>
                            <m:t>l</m:t>
                          </m:r>
                        </m:sub>
                      </m:sSub>
                    </m:e>
                  </m:nary>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eventday</m:t>
                      </m:r>
                    </m:e>
                    <m:sub>
                      <m:r>
                        <w:rPr>
                          <w:rFonts w:ascii="Cambria Math" w:hAnsi="Cambria Math"/>
                          <w:szCs w:val="18"/>
                        </w:rPr>
                        <m:t>dtl</m:t>
                      </m:r>
                    </m:sub>
                  </m:sSub>
                  <m:r>
                    <m:rPr>
                      <m:sty m:val="p"/>
                    </m:rPr>
                    <w:rPr>
                      <w:rFonts w:ascii="Cambria Math" w:hAnsi="Cambria Math"/>
                      <w:szCs w:val="18"/>
                    </w:rPr>
                    <m:t>+</m:t>
                  </m:r>
                  <m:r>
                    <w:rPr>
                      <w:rFonts w:ascii="Cambria Math" w:hAnsi="Cambria Math"/>
                      <w:szCs w:val="18"/>
                    </w:rPr>
                    <m:t>e</m:t>
                  </m:r>
                </m:e>
                <m:sub>
                  <m:r>
                    <w:rPr>
                      <w:rFonts w:ascii="Cambria Math" w:hAnsi="Cambria Math"/>
                      <w:szCs w:val="18"/>
                    </w:rPr>
                    <m:t>dt</m:t>
                  </m:r>
                </m:sub>
              </m:sSub>
              <m:r>
                <m:rPr>
                  <m:sty m:val="p"/>
                </m:rPr>
                <w:rPr>
                  <w:rFonts w:ascii="Cambria Math" w:hAnsi="Cambria Math"/>
                  <w:szCs w:val="18"/>
                </w:rPr>
                <m:t xml:space="preserve">,  </m:t>
              </m:r>
              <m:r>
                <w:rPr>
                  <w:rFonts w:ascii="Cambria Math" w:hAnsi="Cambria Math"/>
                  <w:szCs w:val="18"/>
                </w:rPr>
                <m:t>t</m:t>
              </m:r>
              <m:r>
                <m:rPr>
                  <m:sty m:val="p"/>
                </m:rPr>
                <w:rPr>
                  <w:rFonts w:ascii="Cambria Math" w:hAnsi="Cambria Math"/>
                  <w:szCs w:val="18"/>
                </w:rPr>
                <m:t>={1</m:t>
              </m:r>
            </m:oMath>
            <w:r w:rsidR="00A61B6E" w:rsidRPr="00834177">
              <w:rPr>
                <w:rFonts w:ascii="Cambria Math" w:hAnsi="Cambria Math"/>
                <w:szCs w:val="18"/>
              </w:rPr>
              <w:t>, 2, 3 … 24}</w:t>
            </w:r>
          </w:p>
        </w:tc>
      </w:tr>
      <w:tr w:rsidR="00A61B6E" w:rsidRPr="004B2E41" w:rsidTr="00A61B6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61B6E" w:rsidRPr="00EB078C" w:rsidRDefault="00A61B6E" w:rsidP="00A61B6E">
            <w:pPr>
              <w:pStyle w:val="TableText"/>
            </w:pPr>
            <w:r>
              <w:t>6</w:t>
            </w:r>
          </w:p>
        </w:tc>
        <w:tc>
          <w:tcPr>
            <w:tcW w:w="8234" w:type="dxa"/>
            <w:tcBorders>
              <w:top w:val="nil"/>
              <w:left w:val="nil"/>
              <w:bottom w:val="single" w:sz="4" w:space="0" w:color="auto"/>
              <w:right w:val="single" w:sz="4" w:space="0" w:color="auto"/>
            </w:tcBorders>
            <w:shd w:val="clear" w:color="auto" w:fill="auto"/>
            <w:noWrap/>
            <w:vAlign w:val="center"/>
            <w:hideMark/>
          </w:tcPr>
          <w:p w:rsidR="00A61B6E" w:rsidRPr="00834177" w:rsidRDefault="00010384" w:rsidP="00A61B6E">
            <w:pPr>
              <w:pStyle w:val="BodyParagraph"/>
              <w:jc w:val="center"/>
              <w:rPr>
                <w:rFonts w:ascii="Cambria Math" w:hAnsi="Cambria Math"/>
                <w:szCs w:val="18"/>
              </w:rPr>
            </w:pPr>
            <m:oMath>
              <m:sSub>
                <m:sSubPr>
                  <m:ctrlPr>
                    <w:rPr>
                      <w:rFonts w:ascii="Cambria Math" w:hAnsi="Cambria Math"/>
                      <w:szCs w:val="18"/>
                    </w:rPr>
                  </m:ctrlPr>
                </m:sSubPr>
                <m:e>
                  <m:r>
                    <w:rPr>
                      <w:rFonts w:ascii="Cambria Math" w:hAnsi="Cambria Math"/>
                      <w:szCs w:val="18"/>
                    </w:rPr>
                    <m:t>kW</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a</m:t>
              </m:r>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i</m:t>
                      </m:r>
                      <m:r>
                        <m:rPr>
                          <m:sty m:val="p"/>
                        </m:rPr>
                        <w:rPr>
                          <w:rFonts w:ascii="Cambria Math" w:hAnsi="Cambria Math"/>
                          <w:szCs w:val="18"/>
                        </w:rPr>
                        <m:t>=2010</m:t>
                      </m:r>
                    </m:sub>
                    <m:sup>
                      <m:r>
                        <m:rPr>
                          <m:sty m:val="p"/>
                        </m:rPr>
                        <w:rPr>
                          <w:rFonts w:ascii="Cambria Math" w:hAnsi="Cambria Math"/>
                          <w:szCs w:val="18"/>
                        </w:rPr>
                        <m:t>2012</m:t>
                      </m:r>
                    </m:sup>
                    <m:e>
                      <m:sSub>
                        <m:sSubPr>
                          <m:ctrlPr>
                            <w:rPr>
                              <w:rFonts w:ascii="Cambria Math" w:hAnsi="Cambria Math"/>
                              <w:szCs w:val="18"/>
                            </w:rPr>
                          </m:ctrlPr>
                        </m:sSubPr>
                        <m:e>
                          <m:r>
                            <w:rPr>
                              <w:rFonts w:ascii="Cambria Math" w:hAnsi="Cambria Math"/>
                              <w:szCs w:val="18"/>
                            </w:rPr>
                            <m:t>b</m:t>
                          </m:r>
                        </m:e>
                        <m:sub>
                          <m:r>
                            <w:rPr>
                              <w:rFonts w:ascii="Cambria Math" w:hAnsi="Cambria Math"/>
                              <w:szCs w:val="18"/>
                            </w:rPr>
                            <m:t>i</m:t>
                          </m:r>
                        </m:sub>
                      </m:sSub>
                    </m:e>
                  </m:nary>
                  <m:r>
                    <m:rPr>
                      <m:sty m:val="p"/>
                    </m:rPr>
                    <w:rPr>
                      <w:rFonts w:ascii="Cambria Math" w:hAnsi="Cambria Math"/>
                      <w:szCs w:val="18"/>
                    </w:rPr>
                    <m:t>*</m:t>
                  </m:r>
                  <m:r>
                    <w:rPr>
                      <w:rFonts w:ascii="Cambria Math" w:hAnsi="Cambria Math"/>
                      <w:szCs w:val="18"/>
                    </w:rPr>
                    <m:t>year</m:t>
                  </m:r>
                </m:e>
                <m:sub>
                  <m:r>
                    <w:rPr>
                      <w:rFonts w:ascii="Cambria Math" w:hAnsi="Cambria Math"/>
                      <w:szCs w:val="18"/>
                    </w:rPr>
                    <m:t>dti</m:t>
                  </m:r>
                </m:sub>
              </m:sSub>
              <m:r>
                <m:rPr>
                  <m:sty m:val="p"/>
                </m:rPr>
                <w:rPr>
                  <w:rFonts w:ascii="Cambria Math" w:hAnsi="Cambria Math"/>
                  <w:szCs w:val="18"/>
                </w:rPr>
                <m:t>+</m:t>
              </m:r>
              <m:r>
                <w:rPr>
                  <w:rFonts w:ascii="Cambria Math" w:hAnsi="Cambria Math"/>
                  <w:szCs w:val="18"/>
                </w:rPr>
                <m:t>c</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season</m:t>
                  </m:r>
                </m:e>
                <m:sub>
                  <m:r>
                    <w:rPr>
                      <w:rFonts w:ascii="Cambria Math" w:hAnsi="Cambria Math"/>
                      <w:szCs w:val="18"/>
                    </w:rPr>
                    <m:t>dt</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k</m:t>
                      </m:r>
                      <m:r>
                        <m:rPr>
                          <m:sty m:val="p"/>
                        </m:rPr>
                        <w:rPr>
                          <w:rFonts w:ascii="Cambria Math" w:hAnsi="Cambria Math"/>
                          <w:szCs w:val="18"/>
                        </w:rPr>
                        <m:t>=2</m:t>
                      </m:r>
                    </m:sub>
                    <m:sup>
                      <m:r>
                        <m:rPr>
                          <m:sty m:val="p"/>
                        </m:rPr>
                        <w:rPr>
                          <w:rFonts w:ascii="Cambria Math" w:hAnsi="Cambria Math"/>
                          <w:szCs w:val="18"/>
                        </w:rPr>
                        <m:t>5</m:t>
                      </m:r>
                    </m:sup>
                    <m:e>
                      <m:sSub>
                        <m:sSubPr>
                          <m:ctrlPr>
                            <w:rPr>
                              <w:rFonts w:ascii="Cambria Math" w:hAnsi="Cambria Math"/>
                              <w:szCs w:val="18"/>
                            </w:rPr>
                          </m:ctrlPr>
                        </m:sSubPr>
                        <m:e>
                          <m:r>
                            <w:rPr>
                              <w:rFonts w:ascii="Cambria Math" w:hAnsi="Cambria Math"/>
                              <w:szCs w:val="18"/>
                            </w:rPr>
                            <m:t>d</m:t>
                          </m:r>
                        </m:e>
                        <m:sub>
                          <m:r>
                            <w:rPr>
                              <w:rFonts w:ascii="Cambria Math" w:hAnsi="Cambria Math"/>
                              <w:szCs w:val="18"/>
                            </w:rPr>
                            <m:t>k</m:t>
                          </m:r>
                        </m:sub>
                      </m:sSub>
                      <m:r>
                        <m:rPr>
                          <m:sty m:val="p"/>
                        </m:rPr>
                        <w:rPr>
                          <w:rFonts w:ascii="Cambria Math" w:hAnsi="Cambria Math"/>
                          <w:szCs w:val="18"/>
                        </w:rPr>
                        <m:t>*</m:t>
                      </m:r>
                    </m:e>
                  </m:nary>
                  <m:r>
                    <w:rPr>
                      <w:rFonts w:ascii="Cambria Math" w:hAnsi="Cambria Math"/>
                      <w:szCs w:val="18"/>
                    </w:rPr>
                    <m:t>daytype</m:t>
                  </m:r>
                </m:e>
                <m:sub>
                  <m:r>
                    <w:rPr>
                      <w:rFonts w:ascii="Cambria Math" w:hAnsi="Cambria Math"/>
                      <w:szCs w:val="18"/>
                    </w:rPr>
                    <m:t>dtk</m:t>
                  </m:r>
                </m:sub>
              </m:sSub>
              <m:sSub>
                <m:sSubPr>
                  <m:ctrlPr>
                    <w:rPr>
                      <w:rFonts w:ascii="Cambria Math" w:hAnsi="Cambria Math"/>
                      <w:szCs w:val="18"/>
                    </w:rPr>
                  </m:ctrlPr>
                </m:sSubPr>
                <m:e>
                  <m:r>
                    <m:rPr>
                      <m:sty m:val="p"/>
                    </m:rPr>
                    <w:rPr>
                      <w:rFonts w:ascii="Cambria Math" w:hAnsi="Cambria Math"/>
                      <w:szCs w:val="18"/>
                    </w:rPr>
                    <m:t>+</m:t>
                  </m:r>
                  <m:r>
                    <w:rPr>
                      <w:rFonts w:ascii="Cambria Math" w:hAnsi="Cambria Math"/>
                      <w:szCs w:val="18"/>
                    </w:rPr>
                    <m:t>e</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cdd</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f</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cddsqr</m:t>
                      </m:r>
                    </m:e>
                    <m:sub>
                      <m:r>
                        <w:rPr>
                          <w:rFonts w:ascii="Cambria Math" w:hAnsi="Cambria Math"/>
                          <w:szCs w:val="18"/>
                        </w:rPr>
                        <m:t>dt</m:t>
                      </m:r>
                    </m:sub>
                  </m:sSub>
                  <m:r>
                    <m:rPr>
                      <m:sty m:val="p"/>
                    </m:rPr>
                    <w:rPr>
                      <w:rFonts w:ascii="Cambria Math" w:hAnsi="Cambria Math"/>
                      <w:szCs w:val="18"/>
                    </w:rPr>
                    <m:t>+</m:t>
                  </m:r>
                  <m:nary>
                    <m:naryPr>
                      <m:chr m:val="∑"/>
                      <m:limLoc m:val="undOvr"/>
                      <m:ctrlPr>
                        <w:rPr>
                          <w:rFonts w:ascii="Cambria Math" w:hAnsi="Cambria Math"/>
                          <w:szCs w:val="18"/>
                        </w:rPr>
                      </m:ctrlPr>
                    </m:naryPr>
                    <m:sub>
                      <m:r>
                        <w:rPr>
                          <w:rFonts w:ascii="Cambria Math" w:hAnsi="Cambria Math"/>
                          <w:szCs w:val="18"/>
                        </w:rPr>
                        <m:t>l</m:t>
                      </m:r>
                      <m:r>
                        <m:rPr>
                          <m:sty m:val="p"/>
                        </m:rPr>
                        <w:rPr>
                          <w:rFonts w:ascii="Cambria Math" w:hAnsi="Cambria Math"/>
                          <w:szCs w:val="18"/>
                        </w:rPr>
                        <m:t>=1</m:t>
                      </m:r>
                    </m:sub>
                    <m:sup>
                      <m:r>
                        <m:rPr>
                          <m:sty m:val="p"/>
                        </m:rPr>
                        <w:rPr>
                          <w:rFonts w:ascii="Cambria Math" w:hAnsi="Cambria Math"/>
                          <w:szCs w:val="18"/>
                        </w:rPr>
                        <m:t>n</m:t>
                      </m:r>
                    </m:sup>
                    <m:e>
                      <m:sSub>
                        <m:sSubPr>
                          <m:ctrlPr>
                            <w:rPr>
                              <w:rFonts w:ascii="Cambria Math" w:hAnsi="Cambria Math"/>
                              <w:szCs w:val="18"/>
                            </w:rPr>
                          </m:ctrlPr>
                        </m:sSubPr>
                        <m:e>
                          <m:r>
                            <w:rPr>
                              <w:rFonts w:ascii="Cambria Math" w:hAnsi="Cambria Math"/>
                              <w:szCs w:val="18"/>
                            </w:rPr>
                            <m:t>g</m:t>
                          </m:r>
                        </m:e>
                        <m:sub>
                          <m:r>
                            <w:rPr>
                              <w:rFonts w:ascii="Cambria Math" w:hAnsi="Cambria Math"/>
                              <w:szCs w:val="18"/>
                            </w:rPr>
                            <m:t>l</m:t>
                          </m:r>
                        </m:sub>
                      </m:sSub>
                    </m:e>
                  </m:nary>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eventday</m:t>
                      </m:r>
                    </m:e>
                    <m:sub>
                      <m:r>
                        <w:rPr>
                          <w:rFonts w:ascii="Cambria Math" w:hAnsi="Cambria Math"/>
                          <w:szCs w:val="18"/>
                        </w:rPr>
                        <m:t>dtl</m:t>
                      </m:r>
                    </m:sub>
                  </m:sSub>
                  <m:r>
                    <m:rPr>
                      <m:sty m:val="p"/>
                    </m:rPr>
                    <w:rPr>
                      <w:rFonts w:ascii="Cambria Math" w:hAnsi="Cambria Math"/>
                      <w:szCs w:val="18"/>
                    </w:rPr>
                    <m:t>+</m:t>
                  </m:r>
                  <m:r>
                    <w:rPr>
                      <w:rFonts w:ascii="Cambria Math" w:hAnsi="Cambria Math"/>
                      <w:szCs w:val="18"/>
                    </w:rPr>
                    <m:t>e</m:t>
                  </m:r>
                </m:e>
                <m:sub>
                  <m:r>
                    <w:rPr>
                      <w:rFonts w:ascii="Cambria Math" w:hAnsi="Cambria Math"/>
                      <w:szCs w:val="18"/>
                    </w:rPr>
                    <m:t>dt</m:t>
                  </m:r>
                </m:sub>
              </m:sSub>
              <m:r>
                <m:rPr>
                  <m:sty m:val="p"/>
                </m:rPr>
                <w:rPr>
                  <w:rFonts w:ascii="Cambria Math" w:hAnsi="Cambria Math"/>
                  <w:szCs w:val="18"/>
                </w:rPr>
                <m:t xml:space="preserve">,  </m:t>
              </m:r>
              <m:r>
                <w:rPr>
                  <w:rFonts w:ascii="Cambria Math" w:hAnsi="Cambria Math"/>
                  <w:szCs w:val="18"/>
                </w:rPr>
                <m:t>t</m:t>
              </m:r>
              <m:r>
                <m:rPr>
                  <m:sty m:val="p"/>
                </m:rPr>
                <w:rPr>
                  <w:rFonts w:ascii="Cambria Math" w:hAnsi="Cambria Math"/>
                  <w:szCs w:val="18"/>
                </w:rPr>
                <m:t>={1</m:t>
              </m:r>
            </m:oMath>
            <w:r w:rsidR="00A61B6E" w:rsidRPr="00834177">
              <w:rPr>
                <w:rFonts w:ascii="Cambria Math" w:hAnsi="Cambria Math"/>
                <w:szCs w:val="18"/>
              </w:rPr>
              <w:t>, 2, 3 … 24}</w:t>
            </w:r>
          </w:p>
        </w:tc>
      </w:tr>
      <w:tr w:rsidR="00A61B6E" w:rsidRPr="004B2E41" w:rsidTr="00A61B6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61B6E" w:rsidRPr="00EB078C" w:rsidRDefault="00A61B6E" w:rsidP="00A61B6E">
            <w:pPr>
              <w:pStyle w:val="TableText"/>
            </w:pPr>
            <w:r>
              <w:t>7</w:t>
            </w:r>
          </w:p>
        </w:tc>
        <w:tc>
          <w:tcPr>
            <w:tcW w:w="8234" w:type="dxa"/>
            <w:tcBorders>
              <w:top w:val="nil"/>
              <w:left w:val="nil"/>
              <w:bottom w:val="single" w:sz="4" w:space="0" w:color="auto"/>
              <w:right w:val="single" w:sz="4" w:space="0" w:color="auto"/>
            </w:tcBorders>
            <w:shd w:val="clear" w:color="auto" w:fill="auto"/>
            <w:noWrap/>
            <w:vAlign w:val="center"/>
            <w:hideMark/>
          </w:tcPr>
          <w:p w:rsidR="00A61B6E" w:rsidRPr="00834177" w:rsidRDefault="00010384" w:rsidP="00A61B6E">
            <w:pPr>
              <w:pStyle w:val="BodyParagraph"/>
              <w:jc w:val="center"/>
              <w:rPr>
                <w:rFonts w:ascii="Cambria Math" w:hAnsi="Cambria Math"/>
                <w:szCs w:val="18"/>
              </w:rPr>
            </w:pPr>
            <m:oMath>
              <m:sSub>
                <m:sSubPr>
                  <m:ctrlPr>
                    <w:rPr>
                      <w:rFonts w:ascii="Cambria Math" w:hAnsi="Cambria Math"/>
                      <w:szCs w:val="18"/>
                    </w:rPr>
                  </m:ctrlPr>
                </m:sSubPr>
                <m:e>
                  <m:r>
                    <w:rPr>
                      <w:rFonts w:ascii="Cambria Math" w:hAnsi="Cambria Math"/>
                      <w:szCs w:val="18"/>
                    </w:rPr>
                    <m:t>kW</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a</m:t>
              </m:r>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i</m:t>
                      </m:r>
                      <m:r>
                        <m:rPr>
                          <m:sty m:val="p"/>
                        </m:rPr>
                        <w:rPr>
                          <w:rFonts w:ascii="Cambria Math" w:hAnsi="Cambria Math"/>
                          <w:szCs w:val="18"/>
                        </w:rPr>
                        <m:t>=2010</m:t>
                      </m:r>
                    </m:sub>
                    <m:sup>
                      <m:r>
                        <m:rPr>
                          <m:sty m:val="p"/>
                        </m:rPr>
                        <w:rPr>
                          <w:rFonts w:ascii="Cambria Math" w:hAnsi="Cambria Math"/>
                          <w:szCs w:val="18"/>
                        </w:rPr>
                        <m:t>2012</m:t>
                      </m:r>
                    </m:sup>
                    <m:e>
                      <m:sSub>
                        <m:sSubPr>
                          <m:ctrlPr>
                            <w:rPr>
                              <w:rFonts w:ascii="Cambria Math" w:hAnsi="Cambria Math"/>
                              <w:szCs w:val="18"/>
                            </w:rPr>
                          </m:ctrlPr>
                        </m:sSubPr>
                        <m:e>
                          <m:r>
                            <w:rPr>
                              <w:rFonts w:ascii="Cambria Math" w:hAnsi="Cambria Math"/>
                              <w:szCs w:val="18"/>
                            </w:rPr>
                            <m:t>b</m:t>
                          </m:r>
                        </m:e>
                        <m:sub>
                          <m:r>
                            <w:rPr>
                              <w:rFonts w:ascii="Cambria Math" w:hAnsi="Cambria Math"/>
                              <w:szCs w:val="18"/>
                            </w:rPr>
                            <m:t>i</m:t>
                          </m:r>
                        </m:sub>
                      </m:sSub>
                    </m:e>
                  </m:nary>
                  <m:r>
                    <m:rPr>
                      <m:sty m:val="p"/>
                    </m:rPr>
                    <w:rPr>
                      <w:rFonts w:ascii="Cambria Math" w:hAnsi="Cambria Math"/>
                      <w:szCs w:val="18"/>
                    </w:rPr>
                    <m:t>*</m:t>
                  </m:r>
                  <m:r>
                    <w:rPr>
                      <w:rFonts w:ascii="Cambria Math" w:hAnsi="Cambria Math"/>
                      <w:szCs w:val="18"/>
                    </w:rPr>
                    <m:t>year</m:t>
                  </m:r>
                </m:e>
                <m:sub>
                  <m:r>
                    <w:rPr>
                      <w:rFonts w:ascii="Cambria Math" w:hAnsi="Cambria Math"/>
                      <w:szCs w:val="18"/>
                    </w:rPr>
                    <m:t>dti</m:t>
                  </m:r>
                </m:sub>
              </m:sSub>
              <m:r>
                <m:rPr>
                  <m:sty m:val="p"/>
                </m:rPr>
                <w:rPr>
                  <w:rFonts w:ascii="Cambria Math" w:hAnsi="Cambria Math"/>
                  <w:szCs w:val="18"/>
                </w:rPr>
                <m:t>+</m:t>
              </m:r>
              <m:r>
                <w:rPr>
                  <w:rFonts w:ascii="Cambria Math" w:hAnsi="Cambria Math"/>
                  <w:szCs w:val="18"/>
                </w:rPr>
                <m:t>c</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season</m:t>
                  </m:r>
                </m:e>
                <m:sub>
                  <m:r>
                    <w:rPr>
                      <w:rFonts w:ascii="Cambria Math" w:hAnsi="Cambria Math"/>
                      <w:szCs w:val="18"/>
                    </w:rPr>
                    <m:t>dt</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k</m:t>
                      </m:r>
                      <m:r>
                        <m:rPr>
                          <m:sty m:val="p"/>
                        </m:rPr>
                        <w:rPr>
                          <w:rFonts w:ascii="Cambria Math" w:hAnsi="Cambria Math"/>
                          <w:szCs w:val="18"/>
                        </w:rPr>
                        <m:t>=2</m:t>
                      </m:r>
                    </m:sub>
                    <m:sup>
                      <m:r>
                        <m:rPr>
                          <m:sty m:val="p"/>
                        </m:rPr>
                        <w:rPr>
                          <w:rFonts w:ascii="Cambria Math" w:hAnsi="Cambria Math"/>
                          <w:szCs w:val="18"/>
                        </w:rPr>
                        <m:t>5</m:t>
                      </m:r>
                    </m:sup>
                    <m:e>
                      <m:sSub>
                        <m:sSubPr>
                          <m:ctrlPr>
                            <w:rPr>
                              <w:rFonts w:ascii="Cambria Math" w:hAnsi="Cambria Math"/>
                              <w:szCs w:val="18"/>
                            </w:rPr>
                          </m:ctrlPr>
                        </m:sSubPr>
                        <m:e>
                          <m:r>
                            <w:rPr>
                              <w:rFonts w:ascii="Cambria Math" w:hAnsi="Cambria Math"/>
                              <w:szCs w:val="18"/>
                            </w:rPr>
                            <m:t>d</m:t>
                          </m:r>
                        </m:e>
                        <m:sub>
                          <m:r>
                            <w:rPr>
                              <w:rFonts w:ascii="Cambria Math" w:hAnsi="Cambria Math"/>
                              <w:szCs w:val="18"/>
                            </w:rPr>
                            <m:t>k</m:t>
                          </m:r>
                        </m:sub>
                      </m:sSub>
                      <m:r>
                        <m:rPr>
                          <m:sty m:val="p"/>
                        </m:rPr>
                        <w:rPr>
                          <w:rFonts w:ascii="Cambria Math" w:hAnsi="Cambria Math"/>
                          <w:szCs w:val="18"/>
                        </w:rPr>
                        <m:t>*</m:t>
                      </m:r>
                    </m:e>
                  </m:nary>
                  <m:r>
                    <w:rPr>
                      <w:rFonts w:ascii="Cambria Math" w:hAnsi="Cambria Math"/>
                      <w:szCs w:val="18"/>
                    </w:rPr>
                    <m:t>daytype</m:t>
                  </m:r>
                </m:e>
                <m:sub>
                  <m:r>
                    <w:rPr>
                      <w:rFonts w:ascii="Cambria Math" w:hAnsi="Cambria Math"/>
                      <w:szCs w:val="18"/>
                    </w:rPr>
                    <m:t>dtk</m:t>
                  </m:r>
                </m:sub>
              </m:sSub>
              <m:sSub>
                <m:sSubPr>
                  <m:ctrlPr>
                    <w:rPr>
                      <w:rFonts w:ascii="Cambria Math" w:hAnsi="Cambria Math"/>
                      <w:szCs w:val="18"/>
                    </w:rPr>
                  </m:ctrlPr>
                </m:sSubPr>
                <m:e>
                  <m:r>
                    <m:rPr>
                      <m:sty m:val="p"/>
                    </m:rPr>
                    <w:rPr>
                      <w:rFonts w:ascii="Cambria Math" w:hAnsi="Cambria Math"/>
                      <w:szCs w:val="18"/>
                    </w:rPr>
                    <m:t>+</m:t>
                  </m:r>
                  <m:r>
                    <w:rPr>
                      <w:rFonts w:ascii="Cambria Math" w:hAnsi="Cambria Math"/>
                      <w:szCs w:val="18"/>
                    </w:rPr>
                    <m:t>e</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cdd</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f</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cdh</m:t>
                      </m:r>
                    </m:e>
                    <m:sub>
                      <m:r>
                        <w:rPr>
                          <w:rFonts w:ascii="Cambria Math" w:hAnsi="Cambria Math"/>
                          <w:szCs w:val="18"/>
                        </w:rPr>
                        <m:t>dt</m:t>
                      </m:r>
                    </m:sub>
                  </m:sSub>
                  <m:r>
                    <m:rPr>
                      <m:sty m:val="p"/>
                    </m:rPr>
                    <w:rPr>
                      <w:rFonts w:ascii="Cambria Math" w:hAnsi="Cambria Math"/>
                      <w:szCs w:val="18"/>
                    </w:rPr>
                    <m:t>+</m:t>
                  </m:r>
                  <m:nary>
                    <m:naryPr>
                      <m:chr m:val="∑"/>
                      <m:limLoc m:val="undOvr"/>
                      <m:ctrlPr>
                        <w:rPr>
                          <w:rFonts w:ascii="Cambria Math" w:hAnsi="Cambria Math"/>
                          <w:szCs w:val="18"/>
                        </w:rPr>
                      </m:ctrlPr>
                    </m:naryPr>
                    <m:sub>
                      <m:r>
                        <w:rPr>
                          <w:rFonts w:ascii="Cambria Math" w:hAnsi="Cambria Math"/>
                          <w:szCs w:val="18"/>
                        </w:rPr>
                        <m:t>l</m:t>
                      </m:r>
                      <m:r>
                        <m:rPr>
                          <m:sty m:val="p"/>
                        </m:rPr>
                        <w:rPr>
                          <w:rFonts w:ascii="Cambria Math" w:hAnsi="Cambria Math"/>
                          <w:szCs w:val="18"/>
                        </w:rPr>
                        <m:t>=1</m:t>
                      </m:r>
                    </m:sub>
                    <m:sup>
                      <m:r>
                        <m:rPr>
                          <m:sty m:val="p"/>
                        </m:rPr>
                        <w:rPr>
                          <w:rFonts w:ascii="Cambria Math" w:hAnsi="Cambria Math"/>
                          <w:szCs w:val="18"/>
                        </w:rPr>
                        <m:t>n</m:t>
                      </m:r>
                    </m:sup>
                    <m:e>
                      <m:sSub>
                        <m:sSubPr>
                          <m:ctrlPr>
                            <w:rPr>
                              <w:rFonts w:ascii="Cambria Math" w:hAnsi="Cambria Math"/>
                              <w:szCs w:val="18"/>
                            </w:rPr>
                          </m:ctrlPr>
                        </m:sSubPr>
                        <m:e>
                          <m:r>
                            <w:rPr>
                              <w:rFonts w:ascii="Cambria Math" w:hAnsi="Cambria Math"/>
                              <w:szCs w:val="18"/>
                            </w:rPr>
                            <m:t>g</m:t>
                          </m:r>
                        </m:e>
                        <m:sub>
                          <m:r>
                            <w:rPr>
                              <w:rFonts w:ascii="Cambria Math" w:hAnsi="Cambria Math"/>
                              <w:szCs w:val="18"/>
                            </w:rPr>
                            <m:t>l</m:t>
                          </m:r>
                        </m:sub>
                      </m:sSub>
                    </m:e>
                  </m:nary>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eventday</m:t>
                      </m:r>
                    </m:e>
                    <m:sub>
                      <m:r>
                        <w:rPr>
                          <w:rFonts w:ascii="Cambria Math" w:hAnsi="Cambria Math"/>
                          <w:szCs w:val="18"/>
                        </w:rPr>
                        <m:t>dtl</m:t>
                      </m:r>
                    </m:sub>
                  </m:sSub>
                  <m:r>
                    <m:rPr>
                      <m:sty m:val="p"/>
                    </m:rPr>
                    <w:rPr>
                      <w:rFonts w:ascii="Cambria Math" w:hAnsi="Cambria Math"/>
                      <w:szCs w:val="18"/>
                    </w:rPr>
                    <m:t>+</m:t>
                  </m:r>
                  <m:r>
                    <w:rPr>
                      <w:rFonts w:ascii="Cambria Math" w:hAnsi="Cambria Math"/>
                      <w:szCs w:val="18"/>
                    </w:rPr>
                    <m:t>e</m:t>
                  </m:r>
                </m:e>
                <m:sub>
                  <m:r>
                    <w:rPr>
                      <w:rFonts w:ascii="Cambria Math" w:hAnsi="Cambria Math"/>
                      <w:szCs w:val="18"/>
                    </w:rPr>
                    <m:t>dt</m:t>
                  </m:r>
                </m:sub>
              </m:sSub>
              <m:r>
                <m:rPr>
                  <m:sty m:val="p"/>
                </m:rPr>
                <w:rPr>
                  <w:rFonts w:ascii="Cambria Math" w:hAnsi="Cambria Math"/>
                  <w:szCs w:val="18"/>
                </w:rPr>
                <m:t xml:space="preserve">,  </m:t>
              </m:r>
              <m:r>
                <w:rPr>
                  <w:rFonts w:ascii="Cambria Math" w:hAnsi="Cambria Math"/>
                  <w:szCs w:val="18"/>
                </w:rPr>
                <m:t>t</m:t>
              </m:r>
              <m:r>
                <m:rPr>
                  <m:sty m:val="p"/>
                </m:rPr>
                <w:rPr>
                  <w:rFonts w:ascii="Cambria Math" w:hAnsi="Cambria Math"/>
                  <w:szCs w:val="18"/>
                </w:rPr>
                <m:t>={1</m:t>
              </m:r>
            </m:oMath>
            <w:r w:rsidR="00A61B6E" w:rsidRPr="00834177">
              <w:rPr>
                <w:rFonts w:ascii="Cambria Math" w:hAnsi="Cambria Math"/>
                <w:szCs w:val="18"/>
              </w:rPr>
              <w:t>, 2, 3 … 24}</w:t>
            </w:r>
          </w:p>
        </w:tc>
      </w:tr>
      <w:tr w:rsidR="00A61B6E" w:rsidRPr="004B2E41" w:rsidTr="00A61B6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61B6E" w:rsidRPr="00EB078C" w:rsidRDefault="00A61B6E" w:rsidP="00A61B6E">
            <w:pPr>
              <w:pStyle w:val="TableText"/>
            </w:pPr>
            <w:r>
              <w:t>8</w:t>
            </w:r>
          </w:p>
        </w:tc>
        <w:tc>
          <w:tcPr>
            <w:tcW w:w="8234" w:type="dxa"/>
            <w:tcBorders>
              <w:top w:val="nil"/>
              <w:left w:val="nil"/>
              <w:bottom w:val="single" w:sz="4" w:space="0" w:color="auto"/>
              <w:right w:val="single" w:sz="4" w:space="0" w:color="auto"/>
            </w:tcBorders>
            <w:shd w:val="clear" w:color="auto" w:fill="auto"/>
            <w:noWrap/>
            <w:vAlign w:val="center"/>
            <w:hideMark/>
          </w:tcPr>
          <w:p w:rsidR="00A61B6E" w:rsidRPr="00834177" w:rsidRDefault="00010384" w:rsidP="00A61B6E">
            <w:pPr>
              <w:pStyle w:val="BodyParagraph"/>
              <w:jc w:val="center"/>
              <w:rPr>
                <w:rFonts w:ascii="Cambria Math" w:hAnsi="Cambria Math"/>
                <w:szCs w:val="18"/>
              </w:rPr>
            </w:pPr>
            <m:oMath>
              <m:sSub>
                <m:sSubPr>
                  <m:ctrlPr>
                    <w:rPr>
                      <w:rFonts w:ascii="Cambria Math" w:hAnsi="Cambria Math"/>
                      <w:szCs w:val="18"/>
                    </w:rPr>
                  </m:ctrlPr>
                </m:sSubPr>
                <m:e>
                  <m:r>
                    <w:rPr>
                      <w:rFonts w:ascii="Cambria Math" w:hAnsi="Cambria Math"/>
                      <w:szCs w:val="18"/>
                    </w:rPr>
                    <m:t>kW</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a</m:t>
              </m:r>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i</m:t>
                      </m:r>
                      <m:r>
                        <m:rPr>
                          <m:sty m:val="p"/>
                        </m:rPr>
                        <w:rPr>
                          <w:rFonts w:ascii="Cambria Math" w:hAnsi="Cambria Math"/>
                          <w:szCs w:val="18"/>
                        </w:rPr>
                        <m:t>=2010</m:t>
                      </m:r>
                    </m:sub>
                    <m:sup>
                      <m:r>
                        <m:rPr>
                          <m:sty m:val="p"/>
                        </m:rPr>
                        <w:rPr>
                          <w:rFonts w:ascii="Cambria Math" w:hAnsi="Cambria Math"/>
                          <w:szCs w:val="18"/>
                        </w:rPr>
                        <m:t>2012</m:t>
                      </m:r>
                    </m:sup>
                    <m:e>
                      <m:sSub>
                        <m:sSubPr>
                          <m:ctrlPr>
                            <w:rPr>
                              <w:rFonts w:ascii="Cambria Math" w:hAnsi="Cambria Math"/>
                              <w:szCs w:val="18"/>
                            </w:rPr>
                          </m:ctrlPr>
                        </m:sSubPr>
                        <m:e>
                          <m:r>
                            <w:rPr>
                              <w:rFonts w:ascii="Cambria Math" w:hAnsi="Cambria Math"/>
                              <w:szCs w:val="18"/>
                            </w:rPr>
                            <m:t>b</m:t>
                          </m:r>
                        </m:e>
                        <m:sub>
                          <m:r>
                            <w:rPr>
                              <w:rFonts w:ascii="Cambria Math" w:hAnsi="Cambria Math"/>
                              <w:szCs w:val="18"/>
                            </w:rPr>
                            <m:t>i</m:t>
                          </m:r>
                        </m:sub>
                      </m:sSub>
                    </m:e>
                  </m:nary>
                  <m:r>
                    <m:rPr>
                      <m:sty m:val="p"/>
                    </m:rPr>
                    <w:rPr>
                      <w:rFonts w:ascii="Cambria Math" w:hAnsi="Cambria Math"/>
                      <w:szCs w:val="18"/>
                    </w:rPr>
                    <m:t>*</m:t>
                  </m:r>
                  <m:r>
                    <w:rPr>
                      <w:rFonts w:ascii="Cambria Math" w:hAnsi="Cambria Math"/>
                      <w:szCs w:val="18"/>
                    </w:rPr>
                    <m:t>year</m:t>
                  </m:r>
                </m:e>
                <m:sub>
                  <m:r>
                    <w:rPr>
                      <w:rFonts w:ascii="Cambria Math" w:hAnsi="Cambria Math"/>
                      <w:szCs w:val="18"/>
                    </w:rPr>
                    <m:t>dti</m:t>
                  </m:r>
                </m:sub>
              </m:sSub>
              <m:r>
                <m:rPr>
                  <m:sty m:val="p"/>
                </m:rPr>
                <w:rPr>
                  <w:rFonts w:ascii="Cambria Math" w:hAnsi="Cambria Math"/>
                  <w:szCs w:val="18"/>
                </w:rPr>
                <m:t>+</m:t>
              </m:r>
              <m:r>
                <w:rPr>
                  <w:rFonts w:ascii="Cambria Math" w:hAnsi="Cambria Math"/>
                  <w:szCs w:val="18"/>
                </w:rPr>
                <m:t>c</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season</m:t>
                  </m:r>
                </m:e>
                <m:sub>
                  <m:r>
                    <w:rPr>
                      <w:rFonts w:ascii="Cambria Math" w:hAnsi="Cambria Math"/>
                      <w:szCs w:val="18"/>
                    </w:rPr>
                    <m:t>dt</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k</m:t>
                      </m:r>
                      <m:r>
                        <m:rPr>
                          <m:sty m:val="p"/>
                        </m:rPr>
                        <w:rPr>
                          <w:rFonts w:ascii="Cambria Math" w:hAnsi="Cambria Math"/>
                          <w:szCs w:val="18"/>
                        </w:rPr>
                        <m:t>=2</m:t>
                      </m:r>
                    </m:sub>
                    <m:sup>
                      <m:r>
                        <m:rPr>
                          <m:sty m:val="p"/>
                        </m:rPr>
                        <w:rPr>
                          <w:rFonts w:ascii="Cambria Math" w:hAnsi="Cambria Math"/>
                          <w:szCs w:val="18"/>
                        </w:rPr>
                        <m:t>5</m:t>
                      </m:r>
                    </m:sup>
                    <m:e>
                      <m:sSub>
                        <m:sSubPr>
                          <m:ctrlPr>
                            <w:rPr>
                              <w:rFonts w:ascii="Cambria Math" w:hAnsi="Cambria Math"/>
                              <w:szCs w:val="18"/>
                            </w:rPr>
                          </m:ctrlPr>
                        </m:sSubPr>
                        <m:e>
                          <m:r>
                            <w:rPr>
                              <w:rFonts w:ascii="Cambria Math" w:hAnsi="Cambria Math"/>
                              <w:szCs w:val="18"/>
                            </w:rPr>
                            <m:t>d</m:t>
                          </m:r>
                        </m:e>
                        <m:sub>
                          <m:r>
                            <w:rPr>
                              <w:rFonts w:ascii="Cambria Math" w:hAnsi="Cambria Math"/>
                              <w:szCs w:val="18"/>
                            </w:rPr>
                            <m:t>k</m:t>
                          </m:r>
                        </m:sub>
                      </m:sSub>
                      <m:r>
                        <m:rPr>
                          <m:sty m:val="p"/>
                        </m:rPr>
                        <w:rPr>
                          <w:rFonts w:ascii="Cambria Math" w:hAnsi="Cambria Math"/>
                          <w:szCs w:val="18"/>
                        </w:rPr>
                        <m:t>*</m:t>
                      </m:r>
                    </m:e>
                  </m:nary>
                  <m:r>
                    <w:rPr>
                      <w:rFonts w:ascii="Cambria Math" w:hAnsi="Cambria Math"/>
                      <w:szCs w:val="18"/>
                    </w:rPr>
                    <m:t>daytype</m:t>
                  </m:r>
                </m:e>
                <m:sub>
                  <m:r>
                    <w:rPr>
                      <w:rFonts w:ascii="Cambria Math" w:hAnsi="Cambria Math"/>
                      <w:szCs w:val="18"/>
                    </w:rPr>
                    <m:t>dtk</m:t>
                  </m:r>
                </m:sub>
              </m:sSub>
              <m:sSub>
                <m:sSubPr>
                  <m:ctrlPr>
                    <w:rPr>
                      <w:rFonts w:ascii="Cambria Math" w:hAnsi="Cambria Math"/>
                      <w:szCs w:val="18"/>
                    </w:rPr>
                  </m:ctrlPr>
                </m:sSubPr>
                <m:e>
                  <m:r>
                    <m:rPr>
                      <m:sty m:val="p"/>
                    </m:rPr>
                    <w:rPr>
                      <w:rFonts w:ascii="Cambria Math" w:hAnsi="Cambria Math"/>
                      <w:szCs w:val="18"/>
                    </w:rPr>
                    <m:t>+</m:t>
                  </m:r>
                  <m:r>
                    <w:rPr>
                      <w:rFonts w:ascii="Cambria Math" w:hAnsi="Cambria Math"/>
                      <w:szCs w:val="18"/>
                    </w:rPr>
                    <m:t>e</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overnightc</m:t>
                      </m:r>
                      <m:r>
                        <w:rPr>
                          <w:rFonts w:ascii="Cambria Math" w:hAnsi="Cambria Math"/>
                          <w:szCs w:val="18"/>
                        </w:rPr>
                        <m:t>dh</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f</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cdh</m:t>
                      </m:r>
                    </m:e>
                    <m:sub>
                      <m:r>
                        <w:rPr>
                          <w:rFonts w:ascii="Cambria Math" w:hAnsi="Cambria Math"/>
                          <w:szCs w:val="18"/>
                        </w:rPr>
                        <m:t>dt</m:t>
                      </m:r>
                    </m:sub>
                  </m:sSub>
                  <m:r>
                    <m:rPr>
                      <m:sty m:val="p"/>
                    </m:rPr>
                    <w:rPr>
                      <w:rFonts w:ascii="Cambria Math" w:hAnsi="Cambria Math"/>
                      <w:szCs w:val="18"/>
                    </w:rPr>
                    <m:t>+</m:t>
                  </m:r>
                  <m:nary>
                    <m:naryPr>
                      <m:chr m:val="∑"/>
                      <m:limLoc m:val="undOvr"/>
                      <m:ctrlPr>
                        <w:rPr>
                          <w:rFonts w:ascii="Cambria Math" w:hAnsi="Cambria Math"/>
                          <w:szCs w:val="18"/>
                        </w:rPr>
                      </m:ctrlPr>
                    </m:naryPr>
                    <m:sub>
                      <m:r>
                        <w:rPr>
                          <w:rFonts w:ascii="Cambria Math" w:hAnsi="Cambria Math"/>
                          <w:szCs w:val="18"/>
                        </w:rPr>
                        <m:t>l</m:t>
                      </m:r>
                      <m:r>
                        <m:rPr>
                          <m:sty m:val="p"/>
                        </m:rPr>
                        <w:rPr>
                          <w:rFonts w:ascii="Cambria Math" w:hAnsi="Cambria Math"/>
                          <w:szCs w:val="18"/>
                        </w:rPr>
                        <m:t>=1</m:t>
                      </m:r>
                    </m:sub>
                    <m:sup>
                      <m:r>
                        <m:rPr>
                          <m:sty m:val="p"/>
                        </m:rPr>
                        <w:rPr>
                          <w:rFonts w:ascii="Cambria Math" w:hAnsi="Cambria Math"/>
                          <w:szCs w:val="18"/>
                        </w:rPr>
                        <m:t>n</m:t>
                      </m:r>
                    </m:sup>
                    <m:e>
                      <m:sSub>
                        <m:sSubPr>
                          <m:ctrlPr>
                            <w:rPr>
                              <w:rFonts w:ascii="Cambria Math" w:hAnsi="Cambria Math"/>
                              <w:szCs w:val="18"/>
                            </w:rPr>
                          </m:ctrlPr>
                        </m:sSubPr>
                        <m:e>
                          <m:r>
                            <w:rPr>
                              <w:rFonts w:ascii="Cambria Math" w:hAnsi="Cambria Math"/>
                              <w:szCs w:val="18"/>
                            </w:rPr>
                            <m:t>g</m:t>
                          </m:r>
                        </m:e>
                        <m:sub>
                          <m:r>
                            <w:rPr>
                              <w:rFonts w:ascii="Cambria Math" w:hAnsi="Cambria Math"/>
                              <w:szCs w:val="18"/>
                            </w:rPr>
                            <m:t>l</m:t>
                          </m:r>
                        </m:sub>
                      </m:sSub>
                    </m:e>
                  </m:nary>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eventday</m:t>
                      </m:r>
                    </m:e>
                    <m:sub>
                      <m:r>
                        <w:rPr>
                          <w:rFonts w:ascii="Cambria Math" w:hAnsi="Cambria Math"/>
                          <w:szCs w:val="18"/>
                        </w:rPr>
                        <m:t>dtl</m:t>
                      </m:r>
                    </m:sub>
                  </m:sSub>
                  <m:r>
                    <m:rPr>
                      <m:sty m:val="p"/>
                    </m:rPr>
                    <w:rPr>
                      <w:rFonts w:ascii="Cambria Math" w:hAnsi="Cambria Math"/>
                      <w:szCs w:val="18"/>
                    </w:rPr>
                    <m:t>+</m:t>
                  </m:r>
                  <m:r>
                    <w:rPr>
                      <w:rFonts w:ascii="Cambria Math" w:hAnsi="Cambria Math"/>
                      <w:szCs w:val="18"/>
                    </w:rPr>
                    <m:t>e</m:t>
                  </m:r>
                </m:e>
                <m:sub>
                  <m:r>
                    <w:rPr>
                      <w:rFonts w:ascii="Cambria Math" w:hAnsi="Cambria Math"/>
                      <w:szCs w:val="18"/>
                    </w:rPr>
                    <m:t>dt</m:t>
                  </m:r>
                </m:sub>
              </m:sSub>
              <m:r>
                <m:rPr>
                  <m:sty m:val="p"/>
                </m:rPr>
                <w:rPr>
                  <w:rFonts w:ascii="Cambria Math" w:hAnsi="Cambria Math"/>
                  <w:szCs w:val="18"/>
                </w:rPr>
                <m:t xml:space="preserve">,  </m:t>
              </m:r>
              <m:r>
                <w:rPr>
                  <w:rFonts w:ascii="Cambria Math" w:hAnsi="Cambria Math"/>
                  <w:szCs w:val="18"/>
                </w:rPr>
                <m:t>t</m:t>
              </m:r>
              <m:r>
                <m:rPr>
                  <m:sty m:val="p"/>
                </m:rPr>
                <w:rPr>
                  <w:rFonts w:ascii="Cambria Math" w:hAnsi="Cambria Math"/>
                  <w:szCs w:val="18"/>
                </w:rPr>
                <m:t>={1</m:t>
              </m:r>
            </m:oMath>
            <w:r w:rsidR="00A61B6E" w:rsidRPr="00834177">
              <w:rPr>
                <w:rFonts w:ascii="Cambria Math" w:hAnsi="Cambria Math"/>
                <w:szCs w:val="18"/>
              </w:rPr>
              <w:t>, 2, 3 … 24}</w:t>
            </w:r>
          </w:p>
        </w:tc>
      </w:tr>
      <w:tr w:rsidR="00A61B6E" w:rsidRPr="004B2E41" w:rsidTr="00A61B6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61B6E" w:rsidRPr="00EB078C" w:rsidRDefault="00A61B6E" w:rsidP="00A61B6E">
            <w:pPr>
              <w:pStyle w:val="TableText"/>
            </w:pPr>
            <w:r>
              <w:t>9</w:t>
            </w:r>
          </w:p>
        </w:tc>
        <w:tc>
          <w:tcPr>
            <w:tcW w:w="8234" w:type="dxa"/>
            <w:tcBorders>
              <w:top w:val="nil"/>
              <w:left w:val="nil"/>
              <w:bottom w:val="single" w:sz="4" w:space="0" w:color="auto"/>
              <w:right w:val="single" w:sz="4" w:space="0" w:color="auto"/>
            </w:tcBorders>
            <w:shd w:val="clear" w:color="auto" w:fill="auto"/>
            <w:noWrap/>
            <w:vAlign w:val="center"/>
            <w:hideMark/>
          </w:tcPr>
          <w:p w:rsidR="00A61B6E" w:rsidRPr="00834177" w:rsidRDefault="00010384" w:rsidP="00A61B6E">
            <w:pPr>
              <w:pStyle w:val="BodyParagraph"/>
              <w:jc w:val="center"/>
              <w:rPr>
                <w:rFonts w:ascii="Cambria Math" w:hAnsi="Cambria Math"/>
                <w:szCs w:val="18"/>
              </w:rPr>
            </w:pPr>
            <m:oMath>
              <m:sSub>
                <m:sSubPr>
                  <m:ctrlPr>
                    <w:rPr>
                      <w:rFonts w:ascii="Cambria Math" w:hAnsi="Cambria Math"/>
                      <w:szCs w:val="18"/>
                    </w:rPr>
                  </m:ctrlPr>
                </m:sSubPr>
                <m:e>
                  <m:r>
                    <w:rPr>
                      <w:rFonts w:ascii="Cambria Math" w:hAnsi="Cambria Math"/>
                      <w:szCs w:val="18"/>
                    </w:rPr>
                    <m:t>kW</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a</m:t>
              </m:r>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i</m:t>
                      </m:r>
                      <m:r>
                        <m:rPr>
                          <m:sty m:val="p"/>
                        </m:rPr>
                        <w:rPr>
                          <w:rFonts w:ascii="Cambria Math" w:hAnsi="Cambria Math"/>
                          <w:szCs w:val="18"/>
                        </w:rPr>
                        <m:t>=2010</m:t>
                      </m:r>
                    </m:sub>
                    <m:sup>
                      <m:r>
                        <m:rPr>
                          <m:sty m:val="p"/>
                        </m:rPr>
                        <w:rPr>
                          <w:rFonts w:ascii="Cambria Math" w:hAnsi="Cambria Math"/>
                          <w:szCs w:val="18"/>
                        </w:rPr>
                        <m:t>2012</m:t>
                      </m:r>
                    </m:sup>
                    <m:e>
                      <m:sSub>
                        <m:sSubPr>
                          <m:ctrlPr>
                            <w:rPr>
                              <w:rFonts w:ascii="Cambria Math" w:hAnsi="Cambria Math"/>
                              <w:szCs w:val="18"/>
                            </w:rPr>
                          </m:ctrlPr>
                        </m:sSubPr>
                        <m:e>
                          <m:r>
                            <w:rPr>
                              <w:rFonts w:ascii="Cambria Math" w:hAnsi="Cambria Math"/>
                              <w:szCs w:val="18"/>
                            </w:rPr>
                            <m:t>b</m:t>
                          </m:r>
                        </m:e>
                        <m:sub>
                          <m:r>
                            <w:rPr>
                              <w:rFonts w:ascii="Cambria Math" w:hAnsi="Cambria Math"/>
                              <w:szCs w:val="18"/>
                            </w:rPr>
                            <m:t>i</m:t>
                          </m:r>
                        </m:sub>
                      </m:sSub>
                    </m:e>
                  </m:nary>
                  <m:r>
                    <m:rPr>
                      <m:sty m:val="p"/>
                    </m:rPr>
                    <w:rPr>
                      <w:rFonts w:ascii="Cambria Math" w:hAnsi="Cambria Math"/>
                      <w:szCs w:val="18"/>
                    </w:rPr>
                    <m:t>*</m:t>
                  </m:r>
                  <m:r>
                    <w:rPr>
                      <w:rFonts w:ascii="Cambria Math" w:hAnsi="Cambria Math"/>
                      <w:szCs w:val="18"/>
                    </w:rPr>
                    <m:t>year</m:t>
                  </m:r>
                </m:e>
                <m:sub>
                  <m:r>
                    <w:rPr>
                      <w:rFonts w:ascii="Cambria Math" w:hAnsi="Cambria Math"/>
                      <w:szCs w:val="18"/>
                    </w:rPr>
                    <m:t>dti</m:t>
                  </m:r>
                </m:sub>
              </m:sSub>
              <m:r>
                <m:rPr>
                  <m:sty m:val="p"/>
                </m:rPr>
                <w:rPr>
                  <w:rFonts w:ascii="Cambria Math" w:hAnsi="Cambria Math"/>
                  <w:szCs w:val="18"/>
                </w:rPr>
                <m:t>+</m:t>
              </m:r>
              <m:r>
                <w:rPr>
                  <w:rFonts w:ascii="Cambria Math" w:hAnsi="Cambria Math"/>
                  <w:szCs w:val="18"/>
                </w:rPr>
                <m:t>c</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season</m:t>
                  </m:r>
                </m:e>
                <m:sub>
                  <m:r>
                    <w:rPr>
                      <w:rFonts w:ascii="Cambria Math" w:hAnsi="Cambria Math"/>
                      <w:szCs w:val="18"/>
                    </w:rPr>
                    <m:t>dt</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k</m:t>
                      </m:r>
                      <m:r>
                        <m:rPr>
                          <m:sty m:val="p"/>
                        </m:rPr>
                        <w:rPr>
                          <w:rFonts w:ascii="Cambria Math" w:hAnsi="Cambria Math"/>
                          <w:szCs w:val="18"/>
                        </w:rPr>
                        <m:t>=2</m:t>
                      </m:r>
                    </m:sub>
                    <m:sup>
                      <m:r>
                        <m:rPr>
                          <m:sty m:val="p"/>
                        </m:rPr>
                        <w:rPr>
                          <w:rFonts w:ascii="Cambria Math" w:hAnsi="Cambria Math"/>
                          <w:szCs w:val="18"/>
                        </w:rPr>
                        <m:t>5</m:t>
                      </m:r>
                    </m:sup>
                    <m:e>
                      <m:sSub>
                        <m:sSubPr>
                          <m:ctrlPr>
                            <w:rPr>
                              <w:rFonts w:ascii="Cambria Math" w:hAnsi="Cambria Math"/>
                              <w:szCs w:val="18"/>
                            </w:rPr>
                          </m:ctrlPr>
                        </m:sSubPr>
                        <m:e>
                          <m:r>
                            <w:rPr>
                              <w:rFonts w:ascii="Cambria Math" w:hAnsi="Cambria Math"/>
                              <w:szCs w:val="18"/>
                            </w:rPr>
                            <m:t>d</m:t>
                          </m:r>
                        </m:e>
                        <m:sub>
                          <m:r>
                            <w:rPr>
                              <w:rFonts w:ascii="Cambria Math" w:hAnsi="Cambria Math"/>
                              <w:szCs w:val="18"/>
                            </w:rPr>
                            <m:t>k</m:t>
                          </m:r>
                        </m:sub>
                      </m:sSub>
                      <m:r>
                        <m:rPr>
                          <m:sty m:val="p"/>
                        </m:rPr>
                        <w:rPr>
                          <w:rFonts w:ascii="Cambria Math" w:hAnsi="Cambria Math"/>
                          <w:szCs w:val="18"/>
                        </w:rPr>
                        <m:t>*</m:t>
                      </m:r>
                    </m:e>
                  </m:nary>
                  <m:r>
                    <w:rPr>
                      <w:rFonts w:ascii="Cambria Math" w:hAnsi="Cambria Math"/>
                      <w:szCs w:val="18"/>
                    </w:rPr>
                    <m:t>daytype</m:t>
                  </m:r>
                </m:e>
                <m:sub>
                  <m:r>
                    <w:rPr>
                      <w:rFonts w:ascii="Cambria Math" w:hAnsi="Cambria Math"/>
                      <w:szCs w:val="18"/>
                    </w:rPr>
                    <m:t>dtk</m:t>
                  </m:r>
                </m:sub>
              </m:sSub>
              <m:sSub>
                <m:sSubPr>
                  <m:ctrlPr>
                    <w:rPr>
                      <w:rFonts w:ascii="Cambria Math" w:hAnsi="Cambria Math"/>
                      <w:szCs w:val="18"/>
                    </w:rPr>
                  </m:ctrlPr>
                </m:sSubPr>
                <m:e>
                  <m:r>
                    <m:rPr>
                      <m:sty m:val="p"/>
                    </m:rPr>
                    <w:rPr>
                      <w:rFonts w:ascii="Cambria Math" w:hAnsi="Cambria Math"/>
                      <w:szCs w:val="18"/>
                    </w:rPr>
                    <m:t>+</m:t>
                  </m:r>
                  <m:r>
                    <w:rPr>
                      <w:rFonts w:ascii="Cambria Math" w:hAnsi="Cambria Math"/>
                      <w:szCs w:val="18"/>
                    </w:rPr>
                    <m:t>e</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cdh</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f</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cdhsqr</m:t>
                      </m:r>
                    </m:e>
                    <m:sub>
                      <m:r>
                        <w:rPr>
                          <w:rFonts w:ascii="Cambria Math" w:hAnsi="Cambria Math"/>
                          <w:szCs w:val="18"/>
                        </w:rPr>
                        <m:t>d</m:t>
                      </m:r>
                      <m:r>
                        <w:rPr>
                          <w:rFonts w:ascii="Cambria Math" w:hAnsi="Cambria Math"/>
                          <w:szCs w:val="18"/>
                        </w:rPr>
                        <m:t>t</m:t>
                      </m:r>
                    </m:sub>
                  </m:sSub>
                  <m:r>
                    <m:rPr>
                      <m:sty m:val="p"/>
                    </m:rPr>
                    <w:rPr>
                      <w:rFonts w:ascii="Cambria Math" w:hAnsi="Cambria Math"/>
                      <w:szCs w:val="18"/>
                    </w:rPr>
                    <m:t>+</m:t>
                  </m:r>
                  <m:nary>
                    <m:naryPr>
                      <m:chr m:val="∑"/>
                      <m:limLoc m:val="undOvr"/>
                      <m:ctrlPr>
                        <w:rPr>
                          <w:rFonts w:ascii="Cambria Math" w:hAnsi="Cambria Math"/>
                          <w:szCs w:val="18"/>
                        </w:rPr>
                      </m:ctrlPr>
                    </m:naryPr>
                    <m:sub>
                      <m:r>
                        <w:rPr>
                          <w:rFonts w:ascii="Cambria Math" w:hAnsi="Cambria Math"/>
                          <w:szCs w:val="18"/>
                        </w:rPr>
                        <m:t>l</m:t>
                      </m:r>
                      <m:r>
                        <m:rPr>
                          <m:sty m:val="p"/>
                        </m:rPr>
                        <w:rPr>
                          <w:rFonts w:ascii="Cambria Math" w:hAnsi="Cambria Math"/>
                          <w:szCs w:val="18"/>
                        </w:rPr>
                        <m:t>=1</m:t>
                      </m:r>
                    </m:sub>
                    <m:sup>
                      <m:r>
                        <m:rPr>
                          <m:sty m:val="p"/>
                        </m:rPr>
                        <w:rPr>
                          <w:rFonts w:ascii="Cambria Math" w:hAnsi="Cambria Math"/>
                          <w:szCs w:val="18"/>
                        </w:rPr>
                        <m:t>n</m:t>
                      </m:r>
                    </m:sup>
                    <m:e>
                      <m:sSub>
                        <m:sSubPr>
                          <m:ctrlPr>
                            <w:rPr>
                              <w:rFonts w:ascii="Cambria Math" w:hAnsi="Cambria Math"/>
                              <w:szCs w:val="18"/>
                            </w:rPr>
                          </m:ctrlPr>
                        </m:sSubPr>
                        <m:e>
                          <m:r>
                            <w:rPr>
                              <w:rFonts w:ascii="Cambria Math" w:hAnsi="Cambria Math"/>
                              <w:szCs w:val="18"/>
                            </w:rPr>
                            <m:t>g</m:t>
                          </m:r>
                        </m:e>
                        <m:sub>
                          <m:r>
                            <w:rPr>
                              <w:rFonts w:ascii="Cambria Math" w:hAnsi="Cambria Math"/>
                              <w:szCs w:val="18"/>
                            </w:rPr>
                            <m:t>l</m:t>
                          </m:r>
                        </m:sub>
                      </m:sSub>
                    </m:e>
                  </m:nary>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eventday</m:t>
                      </m:r>
                    </m:e>
                    <m:sub>
                      <m:r>
                        <w:rPr>
                          <w:rFonts w:ascii="Cambria Math" w:hAnsi="Cambria Math"/>
                          <w:szCs w:val="18"/>
                        </w:rPr>
                        <m:t>dtl</m:t>
                      </m:r>
                    </m:sub>
                  </m:sSub>
                  <m:r>
                    <m:rPr>
                      <m:sty m:val="p"/>
                    </m:rPr>
                    <w:rPr>
                      <w:rFonts w:ascii="Cambria Math" w:hAnsi="Cambria Math"/>
                      <w:szCs w:val="18"/>
                    </w:rPr>
                    <m:t>+</m:t>
                  </m:r>
                  <m:r>
                    <w:rPr>
                      <w:rFonts w:ascii="Cambria Math" w:hAnsi="Cambria Math"/>
                      <w:szCs w:val="18"/>
                    </w:rPr>
                    <m:t>e</m:t>
                  </m:r>
                </m:e>
                <m:sub>
                  <m:r>
                    <w:rPr>
                      <w:rFonts w:ascii="Cambria Math" w:hAnsi="Cambria Math"/>
                      <w:szCs w:val="18"/>
                    </w:rPr>
                    <m:t>dt</m:t>
                  </m:r>
                </m:sub>
              </m:sSub>
              <m:r>
                <m:rPr>
                  <m:sty m:val="p"/>
                </m:rPr>
                <w:rPr>
                  <w:rFonts w:ascii="Cambria Math" w:hAnsi="Cambria Math"/>
                  <w:szCs w:val="18"/>
                </w:rPr>
                <m:t xml:space="preserve">,  </m:t>
              </m:r>
              <m:r>
                <w:rPr>
                  <w:rFonts w:ascii="Cambria Math" w:hAnsi="Cambria Math"/>
                  <w:szCs w:val="18"/>
                </w:rPr>
                <m:t>t</m:t>
              </m:r>
              <m:r>
                <m:rPr>
                  <m:sty m:val="p"/>
                </m:rPr>
                <w:rPr>
                  <w:rFonts w:ascii="Cambria Math" w:hAnsi="Cambria Math"/>
                  <w:szCs w:val="18"/>
                </w:rPr>
                <m:t>={1</m:t>
              </m:r>
            </m:oMath>
            <w:r w:rsidR="00A61B6E" w:rsidRPr="00834177">
              <w:rPr>
                <w:rFonts w:ascii="Cambria Math" w:hAnsi="Cambria Math"/>
                <w:szCs w:val="18"/>
              </w:rPr>
              <w:t>, 2, 3 … 24}</w:t>
            </w:r>
          </w:p>
        </w:tc>
      </w:tr>
      <w:tr w:rsidR="00A61B6E" w:rsidRPr="004B2E41" w:rsidTr="00A61B6E">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A61B6E" w:rsidRPr="00EB078C" w:rsidRDefault="00A61B6E" w:rsidP="00A61B6E">
            <w:pPr>
              <w:pStyle w:val="TableText"/>
            </w:pPr>
            <w:r>
              <w:t>10</w:t>
            </w:r>
          </w:p>
        </w:tc>
        <w:tc>
          <w:tcPr>
            <w:tcW w:w="8234" w:type="dxa"/>
            <w:tcBorders>
              <w:top w:val="nil"/>
              <w:left w:val="nil"/>
              <w:bottom w:val="single" w:sz="4" w:space="0" w:color="auto"/>
              <w:right w:val="single" w:sz="4" w:space="0" w:color="auto"/>
            </w:tcBorders>
            <w:shd w:val="clear" w:color="auto" w:fill="auto"/>
            <w:noWrap/>
            <w:vAlign w:val="center"/>
            <w:hideMark/>
          </w:tcPr>
          <w:p w:rsidR="00A61B6E" w:rsidRPr="00834177" w:rsidRDefault="00010384" w:rsidP="00A61B6E">
            <w:pPr>
              <w:pStyle w:val="BodyParagraph"/>
              <w:jc w:val="center"/>
              <w:rPr>
                <w:rFonts w:ascii="Cambria Math" w:hAnsi="Cambria Math"/>
                <w:szCs w:val="18"/>
              </w:rPr>
            </w:pPr>
            <m:oMath>
              <m:sSub>
                <m:sSubPr>
                  <m:ctrlPr>
                    <w:rPr>
                      <w:rFonts w:ascii="Cambria Math" w:hAnsi="Cambria Math"/>
                      <w:szCs w:val="18"/>
                    </w:rPr>
                  </m:ctrlPr>
                </m:sSubPr>
                <m:e>
                  <m:r>
                    <w:rPr>
                      <w:rFonts w:ascii="Cambria Math" w:hAnsi="Cambria Math"/>
                      <w:szCs w:val="18"/>
                    </w:rPr>
                    <m:t>kW</m:t>
                  </m:r>
                </m:e>
                <m:sub>
                  <m:r>
                    <w:rPr>
                      <w:rFonts w:ascii="Cambria Math" w:hAnsi="Cambria Math"/>
                      <w:szCs w:val="18"/>
                    </w:rPr>
                    <m:t>dt</m:t>
                  </m:r>
                </m:sub>
              </m:sSub>
              <m:r>
                <m:rPr>
                  <m:sty m:val="p"/>
                </m:rPr>
                <w:rPr>
                  <w:rFonts w:ascii="Cambria Math" w:hAnsi="Cambria Math"/>
                  <w:szCs w:val="18"/>
                </w:rPr>
                <m:t>=</m:t>
              </m:r>
              <m:r>
                <w:rPr>
                  <w:rFonts w:ascii="Cambria Math" w:hAnsi="Cambria Math"/>
                  <w:szCs w:val="18"/>
                </w:rPr>
                <m:t>a</m:t>
              </m:r>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i</m:t>
                      </m:r>
                      <m:r>
                        <m:rPr>
                          <m:sty m:val="p"/>
                        </m:rPr>
                        <w:rPr>
                          <w:rFonts w:ascii="Cambria Math" w:hAnsi="Cambria Math"/>
                          <w:szCs w:val="18"/>
                        </w:rPr>
                        <m:t>=2010</m:t>
                      </m:r>
                    </m:sub>
                    <m:sup>
                      <m:r>
                        <m:rPr>
                          <m:sty m:val="p"/>
                        </m:rPr>
                        <w:rPr>
                          <w:rFonts w:ascii="Cambria Math" w:hAnsi="Cambria Math"/>
                          <w:szCs w:val="18"/>
                        </w:rPr>
                        <m:t>2012</m:t>
                      </m:r>
                    </m:sup>
                    <m:e>
                      <m:sSub>
                        <m:sSubPr>
                          <m:ctrlPr>
                            <w:rPr>
                              <w:rFonts w:ascii="Cambria Math" w:hAnsi="Cambria Math"/>
                              <w:szCs w:val="18"/>
                            </w:rPr>
                          </m:ctrlPr>
                        </m:sSubPr>
                        <m:e>
                          <m:r>
                            <w:rPr>
                              <w:rFonts w:ascii="Cambria Math" w:hAnsi="Cambria Math"/>
                              <w:szCs w:val="18"/>
                            </w:rPr>
                            <m:t>b</m:t>
                          </m:r>
                        </m:e>
                        <m:sub>
                          <m:r>
                            <w:rPr>
                              <w:rFonts w:ascii="Cambria Math" w:hAnsi="Cambria Math"/>
                              <w:szCs w:val="18"/>
                            </w:rPr>
                            <m:t>i</m:t>
                          </m:r>
                        </m:sub>
                      </m:sSub>
                    </m:e>
                  </m:nary>
                  <m:r>
                    <m:rPr>
                      <m:sty m:val="p"/>
                    </m:rPr>
                    <w:rPr>
                      <w:rFonts w:ascii="Cambria Math" w:hAnsi="Cambria Math"/>
                      <w:szCs w:val="18"/>
                    </w:rPr>
                    <m:t>*</m:t>
                  </m:r>
                  <m:r>
                    <w:rPr>
                      <w:rFonts w:ascii="Cambria Math" w:hAnsi="Cambria Math"/>
                      <w:szCs w:val="18"/>
                    </w:rPr>
                    <m:t>year</m:t>
                  </m:r>
                </m:e>
                <m:sub>
                  <m:r>
                    <w:rPr>
                      <w:rFonts w:ascii="Cambria Math" w:hAnsi="Cambria Math"/>
                      <w:szCs w:val="18"/>
                    </w:rPr>
                    <m:t>dti</m:t>
                  </m:r>
                </m:sub>
              </m:sSub>
              <m:r>
                <m:rPr>
                  <m:sty m:val="p"/>
                </m:rPr>
                <w:rPr>
                  <w:rFonts w:ascii="Cambria Math" w:hAnsi="Cambria Math"/>
                  <w:szCs w:val="18"/>
                </w:rPr>
                <m:t>+</m:t>
              </m:r>
              <m:r>
                <w:rPr>
                  <w:rFonts w:ascii="Cambria Math" w:hAnsi="Cambria Math"/>
                  <w:szCs w:val="18"/>
                </w:rPr>
                <m:t>c</m:t>
              </m:r>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season</m:t>
                  </m:r>
                </m:e>
                <m:sub>
                  <m:r>
                    <w:rPr>
                      <w:rFonts w:ascii="Cambria Math" w:hAnsi="Cambria Math"/>
                      <w:szCs w:val="18"/>
                    </w:rPr>
                    <m:t>dt</m:t>
                  </m:r>
                </m:sub>
              </m:sSub>
              <m:r>
                <m:rPr>
                  <m:sty m:val="p"/>
                </m:rPr>
                <w:rPr>
                  <w:rFonts w:ascii="Cambria Math" w:hAnsi="Cambria Math"/>
                  <w:szCs w:val="18"/>
                </w:rPr>
                <m:t>+</m:t>
              </m:r>
              <m:sSub>
                <m:sSubPr>
                  <m:ctrlPr>
                    <w:rPr>
                      <w:rFonts w:ascii="Cambria Math" w:hAnsi="Cambria Math"/>
                      <w:szCs w:val="18"/>
                    </w:rPr>
                  </m:ctrlPr>
                </m:sSubPr>
                <m:e>
                  <m:nary>
                    <m:naryPr>
                      <m:chr m:val="∑"/>
                      <m:limLoc m:val="undOvr"/>
                      <m:ctrlPr>
                        <w:rPr>
                          <w:rFonts w:ascii="Cambria Math" w:hAnsi="Cambria Math"/>
                          <w:szCs w:val="18"/>
                        </w:rPr>
                      </m:ctrlPr>
                    </m:naryPr>
                    <m:sub>
                      <m:r>
                        <w:rPr>
                          <w:rFonts w:ascii="Cambria Math" w:hAnsi="Cambria Math"/>
                          <w:szCs w:val="18"/>
                        </w:rPr>
                        <m:t>k</m:t>
                      </m:r>
                      <m:r>
                        <m:rPr>
                          <m:sty m:val="p"/>
                        </m:rPr>
                        <w:rPr>
                          <w:rFonts w:ascii="Cambria Math" w:hAnsi="Cambria Math"/>
                          <w:szCs w:val="18"/>
                        </w:rPr>
                        <m:t>=2</m:t>
                      </m:r>
                    </m:sub>
                    <m:sup>
                      <m:r>
                        <m:rPr>
                          <m:sty m:val="p"/>
                        </m:rPr>
                        <w:rPr>
                          <w:rFonts w:ascii="Cambria Math" w:hAnsi="Cambria Math"/>
                          <w:szCs w:val="18"/>
                        </w:rPr>
                        <m:t>5</m:t>
                      </m:r>
                    </m:sup>
                    <m:e>
                      <m:sSub>
                        <m:sSubPr>
                          <m:ctrlPr>
                            <w:rPr>
                              <w:rFonts w:ascii="Cambria Math" w:hAnsi="Cambria Math"/>
                              <w:szCs w:val="18"/>
                            </w:rPr>
                          </m:ctrlPr>
                        </m:sSubPr>
                        <m:e>
                          <m:r>
                            <w:rPr>
                              <w:rFonts w:ascii="Cambria Math" w:hAnsi="Cambria Math"/>
                              <w:szCs w:val="18"/>
                            </w:rPr>
                            <m:t>d</m:t>
                          </m:r>
                        </m:e>
                        <m:sub>
                          <m:r>
                            <w:rPr>
                              <w:rFonts w:ascii="Cambria Math" w:hAnsi="Cambria Math"/>
                              <w:szCs w:val="18"/>
                            </w:rPr>
                            <m:t>k</m:t>
                          </m:r>
                        </m:sub>
                      </m:sSub>
                      <m:r>
                        <m:rPr>
                          <m:sty m:val="p"/>
                        </m:rPr>
                        <w:rPr>
                          <w:rFonts w:ascii="Cambria Math" w:hAnsi="Cambria Math"/>
                          <w:szCs w:val="18"/>
                        </w:rPr>
                        <m:t>*</m:t>
                      </m:r>
                    </m:e>
                  </m:nary>
                  <m:r>
                    <w:rPr>
                      <w:rFonts w:ascii="Cambria Math" w:hAnsi="Cambria Math"/>
                      <w:szCs w:val="18"/>
                    </w:rPr>
                    <m:t>daytype</m:t>
                  </m:r>
                </m:e>
                <m:sub>
                  <m:r>
                    <w:rPr>
                      <w:rFonts w:ascii="Cambria Math" w:hAnsi="Cambria Math"/>
                      <w:szCs w:val="18"/>
                    </w:rPr>
                    <m:t>dtk</m:t>
                  </m:r>
                </m:sub>
              </m:sSub>
              <m:sSub>
                <m:sSubPr>
                  <m:ctrlPr>
                    <w:rPr>
                      <w:rFonts w:ascii="Cambria Math" w:hAnsi="Cambria Math"/>
                      <w:szCs w:val="18"/>
                    </w:rPr>
                  </m:ctrlPr>
                </m:sSubPr>
                <m:e>
                  <m:r>
                    <m:rPr>
                      <m:sty m:val="p"/>
                    </m:rPr>
                    <w:rPr>
                      <w:rFonts w:ascii="Cambria Math" w:hAnsi="Cambria Math"/>
                      <w:szCs w:val="18"/>
                    </w:rPr>
                    <m:t>+</m:t>
                  </m:r>
                  <m:nary>
                    <m:naryPr>
                      <m:chr m:val="∑"/>
                      <m:limLoc m:val="undOvr"/>
                      <m:ctrlPr>
                        <w:rPr>
                          <w:rFonts w:ascii="Cambria Math" w:hAnsi="Cambria Math"/>
                          <w:szCs w:val="18"/>
                        </w:rPr>
                      </m:ctrlPr>
                    </m:naryPr>
                    <m:sub>
                      <m:r>
                        <w:rPr>
                          <w:rFonts w:ascii="Cambria Math" w:hAnsi="Cambria Math"/>
                          <w:szCs w:val="18"/>
                        </w:rPr>
                        <m:t>l</m:t>
                      </m:r>
                      <m:r>
                        <m:rPr>
                          <m:sty m:val="p"/>
                        </m:rPr>
                        <w:rPr>
                          <w:rFonts w:ascii="Cambria Math" w:hAnsi="Cambria Math"/>
                          <w:szCs w:val="18"/>
                        </w:rPr>
                        <m:t>=1</m:t>
                      </m:r>
                    </m:sub>
                    <m:sup>
                      <m:r>
                        <m:rPr>
                          <m:sty m:val="p"/>
                        </m:rPr>
                        <w:rPr>
                          <w:rFonts w:ascii="Cambria Math" w:hAnsi="Cambria Math"/>
                          <w:szCs w:val="18"/>
                        </w:rPr>
                        <m:t>n</m:t>
                      </m:r>
                    </m:sup>
                    <m:e>
                      <m:sSub>
                        <m:sSubPr>
                          <m:ctrlPr>
                            <w:rPr>
                              <w:rFonts w:ascii="Cambria Math" w:hAnsi="Cambria Math"/>
                              <w:szCs w:val="18"/>
                            </w:rPr>
                          </m:ctrlPr>
                        </m:sSubPr>
                        <m:e>
                          <m:r>
                            <w:rPr>
                              <w:rFonts w:ascii="Cambria Math" w:hAnsi="Cambria Math"/>
                              <w:szCs w:val="18"/>
                            </w:rPr>
                            <m:t>e</m:t>
                          </m:r>
                        </m:e>
                        <m:sub>
                          <m:r>
                            <w:rPr>
                              <w:rFonts w:ascii="Cambria Math" w:hAnsi="Cambria Math"/>
                              <w:szCs w:val="18"/>
                            </w:rPr>
                            <m:t>l</m:t>
                          </m:r>
                        </m:sub>
                      </m:sSub>
                    </m:e>
                  </m:nary>
                  <m:r>
                    <m:rPr>
                      <m:sty m:val="p"/>
                    </m:rPr>
                    <w:rPr>
                      <w:rFonts w:ascii="Cambria Math" w:hAnsi="Cambria Math"/>
                      <w:szCs w:val="18"/>
                    </w:rPr>
                    <m:t>*</m:t>
                  </m:r>
                  <m:sSub>
                    <m:sSubPr>
                      <m:ctrlPr>
                        <w:rPr>
                          <w:rFonts w:ascii="Cambria Math" w:hAnsi="Cambria Math"/>
                          <w:szCs w:val="18"/>
                        </w:rPr>
                      </m:ctrlPr>
                    </m:sSubPr>
                    <m:e>
                      <m:r>
                        <w:rPr>
                          <w:rFonts w:ascii="Cambria Math" w:hAnsi="Cambria Math"/>
                          <w:szCs w:val="18"/>
                        </w:rPr>
                        <m:t>eventday</m:t>
                      </m:r>
                    </m:e>
                    <m:sub>
                      <m:r>
                        <w:rPr>
                          <w:rFonts w:ascii="Cambria Math" w:hAnsi="Cambria Math"/>
                          <w:szCs w:val="18"/>
                        </w:rPr>
                        <m:t>dtl</m:t>
                      </m:r>
                    </m:sub>
                  </m:sSub>
                  <m:r>
                    <m:rPr>
                      <m:sty m:val="p"/>
                    </m:rPr>
                    <w:rPr>
                      <w:rFonts w:ascii="Cambria Math" w:hAnsi="Cambria Math"/>
                      <w:szCs w:val="18"/>
                    </w:rPr>
                    <m:t>+</m:t>
                  </m:r>
                  <m:r>
                    <w:rPr>
                      <w:rFonts w:ascii="Cambria Math" w:hAnsi="Cambria Math"/>
                      <w:szCs w:val="18"/>
                    </w:rPr>
                    <m:t>e</m:t>
                  </m:r>
                </m:e>
                <m:sub>
                  <m:r>
                    <w:rPr>
                      <w:rFonts w:ascii="Cambria Math" w:hAnsi="Cambria Math"/>
                      <w:szCs w:val="18"/>
                    </w:rPr>
                    <m:t>dt</m:t>
                  </m:r>
                </m:sub>
              </m:sSub>
              <m:r>
                <m:rPr>
                  <m:sty m:val="p"/>
                </m:rPr>
                <w:rPr>
                  <w:rFonts w:ascii="Cambria Math" w:hAnsi="Cambria Math"/>
                  <w:szCs w:val="18"/>
                </w:rPr>
                <m:t xml:space="preserve">,  </m:t>
              </m:r>
              <m:r>
                <w:rPr>
                  <w:rFonts w:ascii="Cambria Math" w:hAnsi="Cambria Math"/>
                  <w:szCs w:val="18"/>
                </w:rPr>
                <m:t>t</m:t>
              </m:r>
              <m:r>
                <m:rPr>
                  <m:sty m:val="p"/>
                </m:rPr>
                <w:rPr>
                  <w:rFonts w:ascii="Cambria Math" w:hAnsi="Cambria Math"/>
                  <w:szCs w:val="18"/>
                </w:rPr>
                <m:t>={1</m:t>
              </m:r>
            </m:oMath>
            <w:r w:rsidR="00A61B6E" w:rsidRPr="00834177">
              <w:rPr>
                <w:rFonts w:ascii="Cambria Math" w:hAnsi="Cambria Math"/>
                <w:szCs w:val="18"/>
              </w:rPr>
              <w:t>, 2, 3 … 24}</w:t>
            </w:r>
          </w:p>
        </w:tc>
      </w:tr>
    </w:tbl>
    <w:p w:rsidR="00A61B6E" w:rsidRDefault="00A61B6E" w:rsidP="00A61B6E">
      <w:pPr>
        <w:pStyle w:val="TableFigureCaption"/>
      </w:pPr>
    </w:p>
    <w:p w:rsidR="00A61B6E" w:rsidRDefault="00A61B6E" w:rsidP="00A61B6E">
      <w:pPr>
        <w:pStyle w:val="BodyParaAfterTableFigure"/>
        <w:rPr>
          <w:rFonts w:ascii="Arial" w:hAnsi="Arial"/>
          <w:sz w:val="20"/>
        </w:rPr>
      </w:pPr>
      <w:r>
        <w:br w:type="page"/>
      </w:r>
    </w:p>
    <w:p w:rsidR="00A61B6E" w:rsidRDefault="00A61B6E" w:rsidP="00A61B6E">
      <w:pPr>
        <w:pStyle w:val="TableFigureCaption"/>
      </w:pPr>
      <w:r>
        <w:lastRenderedPageBreak/>
        <w:t>Table C-2: Description of Regression Model Variables</w:t>
      </w:r>
    </w:p>
    <w:tbl>
      <w:tblPr>
        <w:tblW w:w="9240" w:type="dxa"/>
        <w:jc w:val="center"/>
        <w:tblLook w:val="04A0" w:firstRow="1" w:lastRow="0" w:firstColumn="1" w:lastColumn="0" w:noHBand="0" w:noVBand="1"/>
      </w:tblPr>
      <w:tblGrid>
        <w:gridCol w:w="2560"/>
        <w:gridCol w:w="6680"/>
      </w:tblGrid>
      <w:tr w:rsidR="00A61B6E" w:rsidTr="00A61B6E">
        <w:trPr>
          <w:trHeight w:val="300"/>
          <w:tblHeader/>
          <w:jc w:val="center"/>
        </w:trPr>
        <w:tc>
          <w:tcPr>
            <w:tcW w:w="2560" w:type="dxa"/>
            <w:tcBorders>
              <w:top w:val="single" w:sz="4" w:space="0" w:color="auto"/>
              <w:left w:val="single" w:sz="4" w:space="0" w:color="auto"/>
              <w:bottom w:val="single" w:sz="4" w:space="0" w:color="auto"/>
              <w:right w:val="single" w:sz="4" w:space="0" w:color="FFFFFF"/>
            </w:tcBorders>
            <w:shd w:val="clear" w:color="auto" w:fill="1F497D" w:themeFill="text2"/>
            <w:noWrap/>
            <w:vAlign w:val="center"/>
            <w:hideMark/>
          </w:tcPr>
          <w:p w:rsidR="00A61B6E" w:rsidRDefault="00A61B6E" w:rsidP="00A61B6E">
            <w:pPr>
              <w:pStyle w:val="TableHeader"/>
              <w:spacing w:line="276" w:lineRule="auto"/>
            </w:pPr>
            <w:r>
              <w:t>Variable</w:t>
            </w:r>
          </w:p>
        </w:tc>
        <w:tc>
          <w:tcPr>
            <w:tcW w:w="6680" w:type="dxa"/>
            <w:tcBorders>
              <w:top w:val="single" w:sz="4" w:space="0" w:color="auto"/>
              <w:left w:val="nil"/>
              <w:bottom w:val="single" w:sz="4" w:space="0" w:color="auto"/>
              <w:right w:val="single" w:sz="4" w:space="0" w:color="auto"/>
            </w:tcBorders>
            <w:shd w:val="clear" w:color="auto" w:fill="1F497D" w:themeFill="text2"/>
            <w:noWrap/>
            <w:vAlign w:val="bottom"/>
            <w:hideMark/>
          </w:tcPr>
          <w:p w:rsidR="00A61B6E" w:rsidRDefault="00A61B6E" w:rsidP="00A61B6E">
            <w:pPr>
              <w:pStyle w:val="TableHeader"/>
              <w:spacing w:line="276" w:lineRule="auto"/>
            </w:pPr>
            <w:r>
              <w:t>Description</w:t>
            </w:r>
          </w:p>
        </w:tc>
      </w:tr>
      <w:tr w:rsidR="00A61B6E" w:rsidTr="00A61B6E">
        <w:trPr>
          <w:trHeight w:val="300"/>
          <w:jc w:val="center"/>
        </w:trPr>
        <w:tc>
          <w:tcPr>
            <w:tcW w:w="2560" w:type="dxa"/>
            <w:tcBorders>
              <w:top w:val="nil"/>
              <w:left w:val="single" w:sz="4" w:space="0" w:color="auto"/>
              <w:bottom w:val="single" w:sz="4" w:space="0" w:color="auto"/>
              <w:right w:val="single" w:sz="4" w:space="0" w:color="auto"/>
            </w:tcBorders>
            <w:noWrap/>
            <w:vAlign w:val="center"/>
            <w:hideMark/>
          </w:tcPr>
          <w:p w:rsidR="00A61B6E" w:rsidRPr="00A61B6E" w:rsidRDefault="00A61B6E" w:rsidP="00A61B6E">
            <w:pPr>
              <w:pStyle w:val="TableText"/>
            </w:pPr>
            <w:r w:rsidRPr="00A61B6E">
              <w:t>kW</w:t>
            </w:r>
          </w:p>
        </w:tc>
        <w:tc>
          <w:tcPr>
            <w:tcW w:w="6680" w:type="dxa"/>
            <w:tcBorders>
              <w:top w:val="nil"/>
              <w:left w:val="nil"/>
              <w:bottom w:val="single" w:sz="4" w:space="0" w:color="auto"/>
              <w:right w:val="single" w:sz="4" w:space="0" w:color="auto"/>
            </w:tcBorders>
            <w:noWrap/>
            <w:vAlign w:val="center"/>
            <w:hideMark/>
          </w:tcPr>
          <w:p w:rsidR="00A61B6E" w:rsidRPr="00A61B6E" w:rsidRDefault="00A61B6E" w:rsidP="00947055">
            <w:pPr>
              <w:pStyle w:val="TableText"/>
              <w:jc w:val="left"/>
              <w:rPr>
                <w:rFonts w:eastAsia="Calibri" w:cs="Times New Roman"/>
              </w:rPr>
            </w:pPr>
            <w:r w:rsidRPr="00A61B6E">
              <w:t>Energy usage in each hourly interval t={1,2,3 …24} for each date, d</w:t>
            </w:r>
          </w:p>
        </w:tc>
      </w:tr>
      <w:tr w:rsidR="00A61B6E" w:rsidTr="00A61B6E">
        <w:trPr>
          <w:trHeight w:val="300"/>
          <w:jc w:val="center"/>
        </w:trPr>
        <w:tc>
          <w:tcPr>
            <w:tcW w:w="2560" w:type="dxa"/>
            <w:tcBorders>
              <w:top w:val="nil"/>
              <w:left w:val="single" w:sz="4" w:space="0" w:color="auto"/>
              <w:bottom w:val="single" w:sz="4" w:space="0" w:color="auto"/>
              <w:right w:val="single" w:sz="4" w:space="0" w:color="auto"/>
            </w:tcBorders>
            <w:noWrap/>
            <w:vAlign w:val="center"/>
            <w:hideMark/>
          </w:tcPr>
          <w:p w:rsidR="00A61B6E" w:rsidRPr="00A61B6E" w:rsidRDefault="00A61B6E" w:rsidP="00A61B6E">
            <w:pPr>
              <w:pStyle w:val="TableText"/>
            </w:pPr>
            <w:r w:rsidRPr="00A61B6E">
              <w:t>Year</w:t>
            </w:r>
          </w:p>
        </w:tc>
        <w:tc>
          <w:tcPr>
            <w:tcW w:w="6680" w:type="dxa"/>
            <w:tcBorders>
              <w:top w:val="nil"/>
              <w:left w:val="nil"/>
              <w:bottom w:val="single" w:sz="4" w:space="0" w:color="auto"/>
              <w:right w:val="single" w:sz="4" w:space="0" w:color="auto"/>
            </w:tcBorders>
            <w:noWrap/>
            <w:vAlign w:val="center"/>
            <w:hideMark/>
          </w:tcPr>
          <w:p w:rsidR="00A61B6E" w:rsidRPr="00A61B6E" w:rsidRDefault="00A61B6E" w:rsidP="00947055">
            <w:pPr>
              <w:pStyle w:val="TableText"/>
              <w:jc w:val="left"/>
              <w:rPr>
                <w:rFonts w:eastAsia="Calibri" w:cs="Times New Roman"/>
              </w:rPr>
            </w:pPr>
            <w:r w:rsidRPr="00A61B6E">
              <w:t>Binary variable for year of the hourly observation</w:t>
            </w:r>
          </w:p>
        </w:tc>
      </w:tr>
      <w:tr w:rsidR="00A61B6E" w:rsidTr="00A61B6E">
        <w:trPr>
          <w:trHeight w:val="215"/>
          <w:jc w:val="center"/>
        </w:trPr>
        <w:tc>
          <w:tcPr>
            <w:tcW w:w="2560" w:type="dxa"/>
            <w:tcBorders>
              <w:top w:val="nil"/>
              <w:left w:val="single" w:sz="4" w:space="0" w:color="auto"/>
              <w:bottom w:val="single" w:sz="4" w:space="0" w:color="auto"/>
              <w:right w:val="single" w:sz="4" w:space="0" w:color="auto"/>
            </w:tcBorders>
            <w:noWrap/>
            <w:vAlign w:val="center"/>
            <w:hideMark/>
          </w:tcPr>
          <w:p w:rsidR="00A61B6E" w:rsidRPr="00A61B6E" w:rsidRDefault="00A61B6E" w:rsidP="00A61B6E">
            <w:pPr>
              <w:pStyle w:val="TableText"/>
            </w:pPr>
            <w:r w:rsidRPr="00A61B6E">
              <w:t>Season</w:t>
            </w:r>
          </w:p>
        </w:tc>
        <w:tc>
          <w:tcPr>
            <w:tcW w:w="6680" w:type="dxa"/>
            <w:tcBorders>
              <w:top w:val="nil"/>
              <w:left w:val="nil"/>
              <w:bottom w:val="single" w:sz="4" w:space="0" w:color="auto"/>
              <w:right w:val="single" w:sz="4" w:space="0" w:color="auto"/>
            </w:tcBorders>
            <w:vAlign w:val="center"/>
            <w:hideMark/>
          </w:tcPr>
          <w:p w:rsidR="00A61B6E" w:rsidRPr="00A61B6E" w:rsidRDefault="00A61B6E" w:rsidP="00947055">
            <w:pPr>
              <w:pStyle w:val="TableText"/>
              <w:jc w:val="left"/>
              <w:rPr>
                <w:rFonts w:eastAsia="Calibri" w:cs="Times New Roman"/>
              </w:rPr>
            </w:pPr>
            <w:r w:rsidRPr="00A61B6E">
              <w:t xml:space="preserve">Binary variable indicating whether </w:t>
            </w:r>
            <w:r w:rsidR="00947055">
              <w:t xml:space="preserve">a customer receives CPP rate discount.  A value of 1 indicates the </w:t>
            </w:r>
            <w:r w:rsidRPr="00A61B6E">
              <w:t>hourly observation falls in the summer season</w:t>
            </w:r>
            <w:r w:rsidR="00947055">
              <w:t xml:space="preserve"> and the customer is actively enrolled in CPP and receiving rate discounts.</w:t>
            </w:r>
          </w:p>
        </w:tc>
      </w:tr>
      <w:tr w:rsidR="00A61B6E" w:rsidTr="00A61B6E">
        <w:trPr>
          <w:trHeight w:val="300"/>
          <w:jc w:val="center"/>
        </w:trPr>
        <w:tc>
          <w:tcPr>
            <w:tcW w:w="2560" w:type="dxa"/>
            <w:tcBorders>
              <w:top w:val="nil"/>
              <w:left w:val="single" w:sz="4" w:space="0" w:color="auto"/>
              <w:bottom w:val="single" w:sz="4" w:space="0" w:color="auto"/>
              <w:right w:val="single" w:sz="4" w:space="0" w:color="auto"/>
            </w:tcBorders>
            <w:noWrap/>
            <w:vAlign w:val="center"/>
            <w:hideMark/>
          </w:tcPr>
          <w:p w:rsidR="00A61B6E" w:rsidRPr="00A61B6E" w:rsidRDefault="00A61B6E" w:rsidP="00A61B6E">
            <w:pPr>
              <w:pStyle w:val="TableText"/>
            </w:pPr>
            <w:r w:rsidRPr="00A61B6E">
              <w:t>Month</w:t>
            </w:r>
          </w:p>
        </w:tc>
        <w:tc>
          <w:tcPr>
            <w:tcW w:w="6680" w:type="dxa"/>
            <w:tcBorders>
              <w:top w:val="nil"/>
              <w:left w:val="nil"/>
              <w:bottom w:val="single" w:sz="4" w:space="0" w:color="auto"/>
              <w:right w:val="single" w:sz="4" w:space="0" w:color="auto"/>
            </w:tcBorders>
            <w:noWrap/>
            <w:vAlign w:val="center"/>
            <w:hideMark/>
          </w:tcPr>
          <w:p w:rsidR="00A61B6E" w:rsidRPr="00A61B6E" w:rsidRDefault="00A61B6E" w:rsidP="00947055">
            <w:pPr>
              <w:pStyle w:val="TableText"/>
              <w:jc w:val="left"/>
              <w:rPr>
                <w:rFonts w:eastAsia="Calibri" w:cs="Times New Roman"/>
              </w:rPr>
            </w:pPr>
            <w:r w:rsidRPr="00A61B6E">
              <w:t>Binary variable indicating the month of the hourly observation</w:t>
            </w:r>
          </w:p>
        </w:tc>
      </w:tr>
      <w:tr w:rsidR="00A61B6E" w:rsidTr="00A61B6E">
        <w:trPr>
          <w:trHeight w:val="125"/>
          <w:jc w:val="center"/>
        </w:trPr>
        <w:tc>
          <w:tcPr>
            <w:tcW w:w="2560" w:type="dxa"/>
            <w:tcBorders>
              <w:top w:val="nil"/>
              <w:left w:val="single" w:sz="4" w:space="0" w:color="auto"/>
              <w:bottom w:val="single" w:sz="4" w:space="0" w:color="auto"/>
              <w:right w:val="single" w:sz="4" w:space="0" w:color="auto"/>
            </w:tcBorders>
            <w:noWrap/>
            <w:vAlign w:val="center"/>
            <w:hideMark/>
          </w:tcPr>
          <w:p w:rsidR="00A61B6E" w:rsidRPr="00A61B6E" w:rsidRDefault="00A61B6E" w:rsidP="00A61B6E">
            <w:pPr>
              <w:pStyle w:val="TableText"/>
            </w:pPr>
            <w:r w:rsidRPr="00A61B6E">
              <w:t>Daytype</w:t>
            </w:r>
          </w:p>
        </w:tc>
        <w:tc>
          <w:tcPr>
            <w:tcW w:w="6680" w:type="dxa"/>
            <w:tcBorders>
              <w:top w:val="nil"/>
              <w:left w:val="nil"/>
              <w:bottom w:val="single" w:sz="4" w:space="0" w:color="auto"/>
              <w:right w:val="single" w:sz="4" w:space="0" w:color="auto"/>
            </w:tcBorders>
            <w:vAlign w:val="center"/>
            <w:hideMark/>
          </w:tcPr>
          <w:p w:rsidR="00A61B6E" w:rsidRPr="00A61B6E" w:rsidRDefault="00A61B6E" w:rsidP="00947055">
            <w:pPr>
              <w:pStyle w:val="TableText"/>
              <w:jc w:val="left"/>
              <w:rPr>
                <w:rFonts w:eastAsia="Calibri" w:cs="Times New Roman"/>
              </w:rPr>
            </w:pPr>
            <w:r w:rsidRPr="00A61B6E">
              <w:t>Binary variable for the day type of the hourly observation (Sundays and holidays and Tuesday through Thursday are grouped together</w:t>
            </w:r>
          </w:p>
        </w:tc>
      </w:tr>
      <w:tr w:rsidR="00A61B6E" w:rsidTr="00A61B6E">
        <w:trPr>
          <w:trHeight w:val="600"/>
          <w:jc w:val="center"/>
        </w:trPr>
        <w:tc>
          <w:tcPr>
            <w:tcW w:w="2560" w:type="dxa"/>
            <w:tcBorders>
              <w:top w:val="nil"/>
              <w:left w:val="single" w:sz="4" w:space="0" w:color="auto"/>
              <w:bottom w:val="single" w:sz="4" w:space="0" w:color="auto"/>
              <w:right w:val="single" w:sz="4" w:space="0" w:color="auto"/>
            </w:tcBorders>
            <w:noWrap/>
            <w:vAlign w:val="center"/>
            <w:hideMark/>
          </w:tcPr>
          <w:p w:rsidR="00A61B6E" w:rsidRPr="00A61B6E" w:rsidRDefault="00A61B6E" w:rsidP="00A61B6E">
            <w:pPr>
              <w:pStyle w:val="TableText"/>
            </w:pPr>
            <w:r w:rsidRPr="00A61B6E">
              <w:t>CDH</w:t>
            </w:r>
          </w:p>
        </w:tc>
        <w:tc>
          <w:tcPr>
            <w:tcW w:w="6680" w:type="dxa"/>
            <w:tcBorders>
              <w:top w:val="nil"/>
              <w:left w:val="nil"/>
              <w:bottom w:val="single" w:sz="4" w:space="0" w:color="auto"/>
              <w:right w:val="single" w:sz="4" w:space="0" w:color="auto"/>
            </w:tcBorders>
            <w:vAlign w:val="center"/>
            <w:hideMark/>
          </w:tcPr>
          <w:p w:rsidR="00A61B6E" w:rsidRPr="00A61B6E" w:rsidRDefault="00A61B6E" w:rsidP="00947055">
            <w:pPr>
              <w:pStyle w:val="TableText"/>
              <w:jc w:val="left"/>
              <w:rPr>
                <w:rFonts w:eastAsia="Calibri" w:cs="Times New Roman"/>
              </w:rPr>
            </w:pPr>
            <w:r w:rsidRPr="00A61B6E">
              <w:t xml:space="preserve">Cooling Degree Hour </w:t>
            </w:r>
            <w:r w:rsidR="00CA470C">
              <w:t>–</w:t>
            </w:r>
            <w:r w:rsidRPr="00A61B6E">
              <w:t xml:space="preserve"> the max of zero and the hourly temperature value less a base value</w:t>
            </w:r>
          </w:p>
        </w:tc>
      </w:tr>
      <w:tr w:rsidR="00A61B6E" w:rsidTr="00A61B6E">
        <w:trPr>
          <w:trHeight w:val="600"/>
          <w:jc w:val="center"/>
        </w:trPr>
        <w:tc>
          <w:tcPr>
            <w:tcW w:w="2560" w:type="dxa"/>
            <w:tcBorders>
              <w:top w:val="nil"/>
              <w:left w:val="single" w:sz="4" w:space="0" w:color="auto"/>
              <w:bottom w:val="single" w:sz="4" w:space="0" w:color="auto"/>
              <w:right w:val="single" w:sz="4" w:space="0" w:color="auto"/>
            </w:tcBorders>
            <w:noWrap/>
            <w:vAlign w:val="center"/>
            <w:hideMark/>
          </w:tcPr>
          <w:p w:rsidR="00A61B6E" w:rsidRPr="00A61B6E" w:rsidRDefault="00A61B6E" w:rsidP="00A61B6E">
            <w:pPr>
              <w:pStyle w:val="TableText"/>
            </w:pPr>
            <w:r w:rsidRPr="00A61B6E">
              <w:t>CDHSQR</w:t>
            </w:r>
          </w:p>
        </w:tc>
        <w:tc>
          <w:tcPr>
            <w:tcW w:w="6680" w:type="dxa"/>
            <w:tcBorders>
              <w:top w:val="nil"/>
              <w:left w:val="nil"/>
              <w:bottom w:val="single" w:sz="4" w:space="0" w:color="auto"/>
              <w:right w:val="single" w:sz="4" w:space="0" w:color="auto"/>
            </w:tcBorders>
            <w:vAlign w:val="center"/>
            <w:hideMark/>
          </w:tcPr>
          <w:p w:rsidR="00A61B6E" w:rsidRPr="00A61B6E" w:rsidRDefault="00A61B6E" w:rsidP="00947055">
            <w:pPr>
              <w:pStyle w:val="TableText"/>
              <w:jc w:val="left"/>
              <w:rPr>
                <w:rFonts w:eastAsia="Calibri" w:cs="Times New Roman"/>
              </w:rPr>
            </w:pPr>
            <w:r w:rsidRPr="00A61B6E">
              <w:t>The square of Cooling Degree Hour</w:t>
            </w:r>
          </w:p>
        </w:tc>
      </w:tr>
      <w:tr w:rsidR="00A61B6E" w:rsidTr="00A61B6E">
        <w:trPr>
          <w:trHeight w:val="600"/>
          <w:jc w:val="center"/>
        </w:trPr>
        <w:tc>
          <w:tcPr>
            <w:tcW w:w="2560" w:type="dxa"/>
            <w:tcBorders>
              <w:top w:val="nil"/>
              <w:left w:val="single" w:sz="4" w:space="0" w:color="auto"/>
              <w:bottom w:val="single" w:sz="4" w:space="0" w:color="auto"/>
              <w:right w:val="single" w:sz="4" w:space="0" w:color="auto"/>
            </w:tcBorders>
            <w:noWrap/>
            <w:vAlign w:val="center"/>
            <w:hideMark/>
          </w:tcPr>
          <w:p w:rsidR="00A61B6E" w:rsidRPr="00A61B6E" w:rsidRDefault="00A61B6E" w:rsidP="00A61B6E">
            <w:pPr>
              <w:pStyle w:val="TableText"/>
            </w:pPr>
            <w:r w:rsidRPr="00A61B6E">
              <w:t>CDD</w:t>
            </w:r>
          </w:p>
        </w:tc>
        <w:tc>
          <w:tcPr>
            <w:tcW w:w="6680" w:type="dxa"/>
            <w:tcBorders>
              <w:top w:val="nil"/>
              <w:left w:val="nil"/>
              <w:bottom w:val="single" w:sz="4" w:space="0" w:color="auto"/>
              <w:right w:val="single" w:sz="4" w:space="0" w:color="auto"/>
            </w:tcBorders>
            <w:vAlign w:val="center"/>
            <w:hideMark/>
          </w:tcPr>
          <w:p w:rsidR="00A61B6E" w:rsidRPr="00A61B6E" w:rsidRDefault="00A61B6E" w:rsidP="00947055">
            <w:pPr>
              <w:pStyle w:val="TableText"/>
              <w:jc w:val="left"/>
              <w:rPr>
                <w:rFonts w:eastAsia="Calibri" w:cs="Times New Roman"/>
              </w:rPr>
            </w:pPr>
            <w:r w:rsidRPr="00A61B6E">
              <w:t xml:space="preserve">Cooling Degree Day </w:t>
            </w:r>
            <w:r w:rsidR="00CA470C">
              <w:t>–</w:t>
            </w:r>
            <w:r w:rsidRPr="00A61B6E">
              <w:t xml:space="preserve"> the max of zero and the mean temperature of the day of the hourly observation less a base value</w:t>
            </w:r>
          </w:p>
        </w:tc>
      </w:tr>
      <w:tr w:rsidR="00A61B6E" w:rsidTr="00A61B6E">
        <w:trPr>
          <w:trHeight w:val="600"/>
          <w:jc w:val="center"/>
        </w:trPr>
        <w:tc>
          <w:tcPr>
            <w:tcW w:w="2560" w:type="dxa"/>
            <w:tcBorders>
              <w:top w:val="nil"/>
              <w:left w:val="single" w:sz="4" w:space="0" w:color="auto"/>
              <w:bottom w:val="single" w:sz="4" w:space="0" w:color="auto"/>
              <w:right w:val="single" w:sz="4" w:space="0" w:color="auto"/>
            </w:tcBorders>
            <w:noWrap/>
            <w:vAlign w:val="center"/>
            <w:hideMark/>
          </w:tcPr>
          <w:p w:rsidR="00A61B6E" w:rsidRPr="00A61B6E" w:rsidRDefault="00A61B6E" w:rsidP="00A61B6E">
            <w:pPr>
              <w:pStyle w:val="TableText"/>
            </w:pPr>
            <w:r w:rsidRPr="00A61B6E">
              <w:t>CDDSQR</w:t>
            </w:r>
          </w:p>
        </w:tc>
        <w:tc>
          <w:tcPr>
            <w:tcW w:w="6680" w:type="dxa"/>
            <w:tcBorders>
              <w:top w:val="nil"/>
              <w:left w:val="nil"/>
              <w:bottom w:val="single" w:sz="4" w:space="0" w:color="auto"/>
              <w:right w:val="single" w:sz="4" w:space="0" w:color="auto"/>
            </w:tcBorders>
            <w:vAlign w:val="center"/>
            <w:hideMark/>
          </w:tcPr>
          <w:p w:rsidR="00A61B6E" w:rsidRPr="00A61B6E" w:rsidRDefault="00A61B6E" w:rsidP="00947055">
            <w:pPr>
              <w:pStyle w:val="TableText"/>
              <w:jc w:val="left"/>
              <w:rPr>
                <w:rFonts w:eastAsia="Calibri" w:cs="Times New Roman"/>
              </w:rPr>
            </w:pPr>
            <w:r w:rsidRPr="00A61B6E">
              <w:t>The square of Cooling Degree Day</w:t>
            </w:r>
          </w:p>
        </w:tc>
      </w:tr>
      <w:tr w:rsidR="00A61B6E" w:rsidTr="00A61B6E">
        <w:trPr>
          <w:trHeight w:val="600"/>
          <w:jc w:val="center"/>
        </w:trPr>
        <w:tc>
          <w:tcPr>
            <w:tcW w:w="2560" w:type="dxa"/>
            <w:tcBorders>
              <w:top w:val="nil"/>
              <w:left w:val="single" w:sz="4" w:space="0" w:color="auto"/>
              <w:bottom w:val="single" w:sz="4" w:space="0" w:color="auto"/>
              <w:right w:val="single" w:sz="4" w:space="0" w:color="auto"/>
            </w:tcBorders>
            <w:noWrap/>
            <w:vAlign w:val="center"/>
            <w:hideMark/>
          </w:tcPr>
          <w:p w:rsidR="00A61B6E" w:rsidRPr="00A61B6E" w:rsidRDefault="00A61B6E" w:rsidP="00A61B6E">
            <w:pPr>
              <w:pStyle w:val="TableText"/>
            </w:pPr>
            <w:r w:rsidRPr="00A61B6E">
              <w:t>OvernightCDH</w:t>
            </w:r>
          </w:p>
        </w:tc>
        <w:tc>
          <w:tcPr>
            <w:tcW w:w="6680" w:type="dxa"/>
            <w:tcBorders>
              <w:top w:val="nil"/>
              <w:left w:val="nil"/>
              <w:bottom w:val="single" w:sz="4" w:space="0" w:color="auto"/>
              <w:right w:val="single" w:sz="4" w:space="0" w:color="auto"/>
            </w:tcBorders>
            <w:vAlign w:val="center"/>
            <w:hideMark/>
          </w:tcPr>
          <w:p w:rsidR="00A61B6E" w:rsidRPr="00A61B6E" w:rsidRDefault="00A61B6E" w:rsidP="00947055">
            <w:pPr>
              <w:pStyle w:val="TableText"/>
              <w:jc w:val="left"/>
              <w:rPr>
                <w:rFonts w:eastAsia="Calibri" w:cs="Times New Roman"/>
              </w:rPr>
            </w:pPr>
            <w:r w:rsidRPr="00A61B6E">
              <w:t>The average of CDH from 12 AM through 9 AM</w:t>
            </w:r>
          </w:p>
        </w:tc>
      </w:tr>
      <w:tr w:rsidR="00A61B6E" w:rsidTr="00A61B6E">
        <w:trPr>
          <w:trHeight w:val="360"/>
          <w:jc w:val="center"/>
        </w:trPr>
        <w:tc>
          <w:tcPr>
            <w:tcW w:w="2560" w:type="dxa"/>
            <w:tcBorders>
              <w:top w:val="nil"/>
              <w:left w:val="single" w:sz="4" w:space="0" w:color="auto"/>
              <w:bottom w:val="single" w:sz="4" w:space="0" w:color="auto"/>
              <w:right w:val="single" w:sz="4" w:space="0" w:color="auto"/>
            </w:tcBorders>
            <w:noWrap/>
            <w:vAlign w:val="center"/>
            <w:hideMark/>
          </w:tcPr>
          <w:p w:rsidR="00A61B6E" w:rsidRPr="00A61B6E" w:rsidRDefault="00A61B6E" w:rsidP="00A61B6E">
            <w:pPr>
              <w:pStyle w:val="TableText"/>
            </w:pPr>
            <w:r w:rsidRPr="00A61B6E">
              <w:t>eventday1 ...n</w:t>
            </w:r>
          </w:p>
        </w:tc>
        <w:tc>
          <w:tcPr>
            <w:tcW w:w="6680" w:type="dxa"/>
            <w:tcBorders>
              <w:top w:val="nil"/>
              <w:left w:val="nil"/>
              <w:bottom w:val="single" w:sz="4" w:space="0" w:color="auto"/>
              <w:right w:val="single" w:sz="4" w:space="0" w:color="auto"/>
            </w:tcBorders>
            <w:vAlign w:val="center"/>
            <w:hideMark/>
          </w:tcPr>
          <w:p w:rsidR="00A61B6E" w:rsidRPr="00A61B6E" w:rsidRDefault="00A61B6E" w:rsidP="00947055">
            <w:pPr>
              <w:pStyle w:val="TableText"/>
              <w:jc w:val="left"/>
              <w:rPr>
                <w:rFonts w:eastAsia="Calibri" w:cs="Times New Roman"/>
              </w:rPr>
            </w:pPr>
            <w:r w:rsidRPr="00A61B6E">
              <w:t>Binary variables indicating each event day, 1 ...n.</w:t>
            </w:r>
          </w:p>
        </w:tc>
      </w:tr>
    </w:tbl>
    <w:p w:rsidR="00A61B6E" w:rsidRPr="00BA5755" w:rsidRDefault="00A61B6E" w:rsidP="00A61B6E">
      <w:pPr>
        <w:pStyle w:val="AppendixHeading2"/>
        <w:spacing w:before="360"/>
      </w:pPr>
      <w:bookmarkStart w:id="224" w:name="_Toc352323673"/>
      <w:r>
        <w:t>Validation</w:t>
      </w:r>
      <w:r w:rsidR="003F58C2">
        <w:t xml:space="preserve"> </w:t>
      </w:r>
      <w:r>
        <w:t>Tests</w:t>
      </w:r>
      <w:bookmarkEnd w:id="224"/>
    </w:p>
    <w:p w:rsidR="00A61B6E" w:rsidRDefault="00A61B6E" w:rsidP="00A61B6E">
      <w:pPr>
        <w:pStyle w:val="BodyParagraph"/>
      </w:pPr>
      <w:r>
        <w:t xml:space="preserve">The fact that it is impossible to directly observe what customers would have used in the absence of load control </w:t>
      </w:r>
      <w:r w:rsidRPr="00422AEE">
        <w:t>poses</w:t>
      </w:r>
      <w:r>
        <w:t xml:space="preserve"> a unique challenge for assessing the accuracy of impact estimates.  One approach </w:t>
      </w:r>
      <w:r w:rsidRPr="00180155">
        <w:t>for ass</w:t>
      </w:r>
      <w:r>
        <w:t>essing accuracy is</w:t>
      </w:r>
      <w:r w:rsidRPr="00180155">
        <w:t xml:space="preserve"> out-of-sample testing.</w:t>
      </w:r>
      <w:r>
        <w:t xml:space="preserve">  Under this approach, the “true” answers are known and we can systematically test if the regression models produce accurate results.  In general, out-of-sample testing helps assess how accurately regressions predict electricity use patterns. </w:t>
      </w:r>
    </w:p>
    <w:p w:rsidR="00A61B6E" w:rsidRDefault="00A61B6E" w:rsidP="00A61B6E">
      <w:pPr>
        <w:pStyle w:val="BodyParagraph"/>
      </w:pPr>
      <w:r w:rsidRPr="00BA5755">
        <w:t>Out-of-sample testing refers to hold</w:t>
      </w:r>
      <w:r>
        <w:t>ing</w:t>
      </w:r>
      <w:r w:rsidRPr="00BA5755">
        <w:t xml:space="preserve"> back </w:t>
      </w:r>
      <w:r>
        <w:t xml:space="preserve">data from event-like days </w:t>
      </w:r>
      <w:r w:rsidRPr="00BA5755">
        <w:t xml:space="preserve">from the model-fitting process in order to test model accuracy.  The basic </w:t>
      </w:r>
      <w:r>
        <w:t xml:space="preserve">approach involves running </w:t>
      </w:r>
      <w:r w:rsidRPr="00BA5755">
        <w:t xml:space="preserve">regressions </w:t>
      </w:r>
      <w:r>
        <w:t>using a subset of the available data.  Event-like proxy days are excluded from the estimation sample in order to use them to assess accuracy</w:t>
      </w:r>
      <w:r w:rsidRPr="00BA5755">
        <w:t xml:space="preserve">.  </w:t>
      </w:r>
      <w:r>
        <w:t xml:space="preserve">The regression model is used to predict electricity use on the event-like days that were withheld.  </w:t>
      </w:r>
      <w:r w:rsidRPr="00BA5755">
        <w:t>Then</w:t>
      </w:r>
      <w:r>
        <w:t xml:space="preserve"> we</w:t>
      </w:r>
      <w:r w:rsidRPr="00BA5755">
        <w:t xml:space="preserve"> directly compare the model’s predictions to the actual </w:t>
      </w:r>
      <w:r>
        <w:t xml:space="preserve">electricity use </w:t>
      </w:r>
      <w:r w:rsidRPr="00BA5755">
        <w:t xml:space="preserve">observed on those days.  If the predictions are close to the true load, then we have confidence that the model </w:t>
      </w:r>
      <w:r>
        <w:t>can accurately predict load for event-like conditions</w:t>
      </w:r>
      <w:r w:rsidRPr="00BA5755">
        <w:t xml:space="preserve"> because the model did not have access to those days when it made its predictions. </w:t>
      </w:r>
      <w:r>
        <w:t xml:space="preserve"> </w:t>
      </w:r>
      <w:r w:rsidRPr="00BA5755">
        <w:t>Once the model specification is chosen using thi</w:t>
      </w:r>
      <w:r>
        <w:t>s validation method, the final demand reduction estimates are produced using the most accurate model</w:t>
      </w:r>
      <w:r w:rsidRPr="00BA5755">
        <w:t>.</w:t>
      </w:r>
      <w:r>
        <w:t xml:space="preserve"> This approach helps ensure the predictive accuracy of the models is not the result of over-fitting the data and avoids spurious ex ante predictions.  The individual event days were validated on the same days as the difference-in-differences method to allow direct comparison between methods. </w:t>
      </w:r>
    </w:p>
    <w:p w:rsidR="00A61B6E" w:rsidRPr="00050374" w:rsidRDefault="00A61B6E" w:rsidP="00A61B6E">
      <w:pPr>
        <w:pStyle w:val="BodyBeforeBullet"/>
      </w:pPr>
      <w:r>
        <w:lastRenderedPageBreak/>
        <w:t>In assessing the accuracy of individual regression models, two</w:t>
      </w:r>
      <w:r w:rsidRPr="00050374">
        <w:t xml:space="preserve"> </w:t>
      </w:r>
      <w:r>
        <w:t xml:space="preserve">key </w:t>
      </w:r>
      <w:r w:rsidRPr="00050374">
        <w:t>questions</w:t>
      </w:r>
      <w:r>
        <w:t xml:space="preserve"> were addressed:</w:t>
      </w:r>
      <w:r w:rsidRPr="00050374">
        <w:t xml:space="preserve"> </w:t>
      </w:r>
    </w:p>
    <w:p w:rsidR="00A61B6E" w:rsidRPr="008D5AAE" w:rsidRDefault="00A61B6E" w:rsidP="00A61B6E">
      <w:pPr>
        <w:pStyle w:val="Bullets"/>
        <w:rPr>
          <w:i/>
        </w:rPr>
      </w:pPr>
      <w:r w:rsidRPr="008D5AAE">
        <w:rPr>
          <w:i/>
        </w:rPr>
        <w:t>What was the distribution of best models for each utility?</w:t>
      </w:r>
    </w:p>
    <w:p w:rsidR="00A61B6E" w:rsidRDefault="00A61B6E" w:rsidP="00A61B6E">
      <w:pPr>
        <w:pStyle w:val="Bullets"/>
      </w:pPr>
      <w:r w:rsidRPr="00426BE7">
        <w:rPr>
          <w:i/>
        </w:rPr>
        <w:t>Do</w:t>
      </w:r>
      <w:r>
        <w:rPr>
          <w:i/>
        </w:rPr>
        <w:t xml:space="preserve">es the best individual </w:t>
      </w:r>
      <w:r w:rsidRPr="00426BE7">
        <w:rPr>
          <w:i/>
        </w:rPr>
        <w:t>model produce unbiased estimates at the program level?</w:t>
      </w:r>
      <w:r>
        <w:rPr>
          <w:i/>
        </w:rPr>
        <w:t xml:space="preserve">  </w:t>
      </w:r>
      <w:r>
        <w:t>In other words,</w:t>
      </w:r>
      <w:r w:rsidRPr="00426BE7">
        <w:rPr>
          <w:i/>
        </w:rPr>
        <w:t xml:space="preserve"> </w:t>
      </w:r>
      <w:r>
        <w:t xml:space="preserve">does the best model have a tendency to over or under predict program impacts?  </w:t>
      </w:r>
      <w:r w:rsidRPr="00050374">
        <w:t>The main metric</w:t>
      </w:r>
      <w:r>
        <w:t xml:space="preserve"> used to assess bias is</w:t>
      </w:r>
      <w:r w:rsidRPr="00050374">
        <w:t xml:space="preserve"> the program mean percent error</w:t>
      </w:r>
      <w:r>
        <w:t xml:space="preserve">, which can simply be interpreted as the percentage by which a method tends to over or under predict.  </w:t>
      </w:r>
      <w:r w:rsidRPr="00426BE7">
        <w:t>To illustrate, a bias statistic of</w:t>
      </w:r>
      <w:r>
        <w:t> </w:t>
      </w:r>
      <w:r w:rsidRPr="00426BE7">
        <w:t>5% indicates that the approach tends to overestimate demand reductions by</w:t>
      </w:r>
      <w:r w:rsidR="003F58C2">
        <w:t> </w:t>
      </w:r>
      <w:r w:rsidRPr="00426BE7">
        <w:t>5%.</w:t>
      </w:r>
    </w:p>
    <w:p w:rsidR="00A61B6E" w:rsidRDefault="00A61B6E" w:rsidP="00A61B6E">
      <w:pPr>
        <w:pStyle w:val="BulletLast"/>
      </w:pPr>
      <w:r w:rsidRPr="00A61B6E">
        <w:rPr>
          <w:i/>
        </w:rPr>
        <w:t>How closely do the program level estimates for individual event hours and days match actual demand reductions (goodness-of-fit)?</w:t>
      </w:r>
      <w:r w:rsidRPr="00A452DD">
        <w:t xml:space="preserve">  </w:t>
      </w:r>
      <w:r w:rsidRPr="00C95787">
        <w:t>An evaluation model can be accurate on average but perform poorly for individual event hours.  This occurs when the errors cancel each other out.  The goodness-of-fit metrics we typically use – mean absolute percentage error (MAPE) and normalized Root Mean Squared Error (RMSE) –</w:t>
      </w:r>
      <w:r>
        <w:t xml:space="preserve"> </w:t>
      </w:r>
      <w:r w:rsidRPr="00C95787">
        <w:t>indicate the typical magnitude of the errors for</w:t>
      </w:r>
      <w:r>
        <w:t> </w:t>
      </w:r>
      <w:r w:rsidRPr="00C95787">
        <w:t>individual curtailment periods on a percentage basis, with lower values indicating less</w:t>
      </w:r>
      <w:r>
        <w:t> </w:t>
      </w:r>
      <w:r w:rsidRPr="00C95787">
        <w:t xml:space="preserve">error.  </w:t>
      </w:r>
    </w:p>
    <w:p w:rsidR="00A61B6E" w:rsidRDefault="00A61B6E" w:rsidP="00A61B6E">
      <w:pPr>
        <w:pStyle w:val="BodyParagraph"/>
      </w:pPr>
      <w:r>
        <w:t>Table C-3 shows the distribution of the best specifications across customers at each utility.  Overall, there is a lack of consistency between utilities in terms of the models that were best fitted to their CPP customers.  For example, Model 4, which includes CDH and CDHSQR weather variables</w:t>
      </w:r>
      <w:r w:rsidR="003F58C2">
        <w:t>,</w:t>
      </w:r>
      <w:r>
        <w:t xml:space="preserve"> was the most frequently chosen model at SDG&amp;E, but the least frequently chosen model at SCE.  This can be due to a variety of factors, including nuances of the methods used, but an easily identifiable factor is industry mix.  To illustrate the point, consider the models without any weather variables (Models 5 and 10) – models that should be assigned to weather-insensitive customers.  These models were quite frequently identified as the best models for customers at both PG&amp;E and SCE, but were not as frequently chosen at SDG&amp;E.  This could be because PG&amp;E and SCE have a greater share of customers in weather-insensitive industries as compared to SDG&amp;E.  SDG&amp;E’s program enrolls many smaller customers as compared to PG&amp;E and SCE, and these customers tend to be more weather sensitive.</w:t>
      </w:r>
      <w:r>
        <w:rPr>
          <w:rStyle w:val="FootnoteReference"/>
        </w:rPr>
        <w:footnoteReference w:id="36"/>
      </w:r>
    </w:p>
    <w:p w:rsidR="00A61B6E" w:rsidRDefault="00A61B6E" w:rsidP="00A61B6E">
      <w:pPr>
        <w:pStyle w:val="TableFigureCaption"/>
      </w:pPr>
      <w:r>
        <w:t>Table C-4: Distribution of Best Individual Regression Model by Utility</w:t>
      </w:r>
    </w:p>
    <w:tbl>
      <w:tblPr>
        <w:tblW w:w="9080" w:type="dxa"/>
        <w:tblInd w:w="93" w:type="dxa"/>
        <w:tblLook w:val="04A0" w:firstRow="1" w:lastRow="0" w:firstColumn="1" w:lastColumn="0" w:noHBand="0" w:noVBand="1"/>
      </w:tblPr>
      <w:tblGrid>
        <w:gridCol w:w="1400"/>
        <w:gridCol w:w="960"/>
        <w:gridCol w:w="960"/>
        <w:gridCol w:w="960"/>
        <w:gridCol w:w="960"/>
        <w:gridCol w:w="960"/>
        <w:gridCol w:w="960"/>
        <w:gridCol w:w="960"/>
        <w:gridCol w:w="960"/>
      </w:tblGrid>
      <w:tr w:rsidR="00A61B6E" w:rsidRPr="003C4905" w:rsidTr="00A97AA9">
        <w:trPr>
          <w:trHeight w:val="278"/>
        </w:trPr>
        <w:tc>
          <w:tcPr>
            <w:tcW w:w="1400" w:type="dxa"/>
            <w:tcBorders>
              <w:top w:val="single" w:sz="4" w:space="0" w:color="auto"/>
              <w:left w:val="single" w:sz="4" w:space="0" w:color="auto"/>
              <w:bottom w:val="single" w:sz="4" w:space="0" w:color="auto"/>
              <w:right w:val="single" w:sz="4" w:space="0" w:color="FFFFFF"/>
            </w:tcBorders>
            <w:shd w:val="clear" w:color="000000" w:fill="1F497D" w:themeFill="text2"/>
            <w:vAlign w:val="center"/>
            <w:hideMark/>
          </w:tcPr>
          <w:p w:rsidR="00A61B6E" w:rsidRPr="003C4905" w:rsidRDefault="00A61B6E" w:rsidP="00A61B6E">
            <w:pPr>
              <w:pStyle w:val="TableHeader"/>
            </w:pPr>
            <w:r w:rsidRPr="003C4905">
              <w:t>Regression Model</w:t>
            </w:r>
          </w:p>
        </w:tc>
        <w:tc>
          <w:tcPr>
            <w:tcW w:w="960" w:type="dxa"/>
            <w:tcBorders>
              <w:top w:val="single" w:sz="4" w:space="0" w:color="auto"/>
              <w:left w:val="nil"/>
              <w:bottom w:val="single" w:sz="4" w:space="0" w:color="auto"/>
              <w:right w:val="single" w:sz="4" w:space="0" w:color="FFFFFF"/>
            </w:tcBorders>
            <w:shd w:val="clear" w:color="000000" w:fill="1F497D" w:themeFill="text2"/>
            <w:vAlign w:val="center"/>
            <w:hideMark/>
          </w:tcPr>
          <w:p w:rsidR="00A61B6E" w:rsidRPr="003C4905" w:rsidRDefault="00A61B6E" w:rsidP="00A61B6E">
            <w:pPr>
              <w:pStyle w:val="TableHeader"/>
            </w:pPr>
            <w:r w:rsidRPr="003C4905">
              <w:t>PG&amp;E</w:t>
            </w:r>
          </w:p>
        </w:tc>
        <w:tc>
          <w:tcPr>
            <w:tcW w:w="960" w:type="dxa"/>
            <w:tcBorders>
              <w:top w:val="single" w:sz="4" w:space="0" w:color="auto"/>
              <w:left w:val="nil"/>
              <w:bottom w:val="single" w:sz="4" w:space="0" w:color="auto"/>
              <w:right w:val="single" w:sz="4" w:space="0" w:color="FFFFFF"/>
            </w:tcBorders>
            <w:shd w:val="clear" w:color="000000" w:fill="1F497D" w:themeFill="text2"/>
            <w:vAlign w:val="center"/>
            <w:hideMark/>
          </w:tcPr>
          <w:p w:rsidR="00A61B6E" w:rsidRPr="003C4905" w:rsidRDefault="00A61B6E" w:rsidP="00A61B6E">
            <w:pPr>
              <w:pStyle w:val="TableHeader"/>
            </w:pPr>
            <w:r w:rsidRPr="003C4905">
              <w:t>%</w:t>
            </w:r>
          </w:p>
        </w:tc>
        <w:tc>
          <w:tcPr>
            <w:tcW w:w="960" w:type="dxa"/>
            <w:tcBorders>
              <w:top w:val="single" w:sz="4" w:space="0" w:color="auto"/>
              <w:left w:val="nil"/>
              <w:bottom w:val="single" w:sz="4" w:space="0" w:color="auto"/>
              <w:right w:val="single" w:sz="4" w:space="0" w:color="FFFFFF"/>
            </w:tcBorders>
            <w:shd w:val="clear" w:color="000000" w:fill="1F497D" w:themeFill="text2"/>
            <w:vAlign w:val="center"/>
            <w:hideMark/>
          </w:tcPr>
          <w:p w:rsidR="00A61B6E" w:rsidRPr="003C4905" w:rsidRDefault="00A61B6E" w:rsidP="00A61B6E">
            <w:pPr>
              <w:pStyle w:val="TableHeader"/>
            </w:pPr>
            <w:r w:rsidRPr="003C4905">
              <w:t>SCE</w:t>
            </w:r>
          </w:p>
        </w:tc>
        <w:tc>
          <w:tcPr>
            <w:tcW w:w="960" w:type="dxa"/>
            <w:tcBorders>
              <w:top w:val="single" w:sz="4" w:space="0" w:color="auto"/>
              <w:left w:val="nil"/>
              <w:bottom w:val="single" w:sz="4" w:space="0" w:color="auto"/>
              <w:right w:val="single" w:sz="4" w:space="0" w:color="FFFFFF"/>
            </w:tcBorders>
            <w:shd w:val="clear" w:color="000000" w:fill="1F497D" w:themeFill="text2"/>
            <w:vAlign w:val="center"/>
            <w:hideMark/>
          </w:tcPr>
          <w:p w:rsidR="00A61B6E" w:rsidRPr="003C4905" w:rsidRDefault="00A61B6E" w:rsidP="00A61B6E">
            <w:pPr>
              <w:pStyle w:val="TableHeader"/>
            </w:pPr>
            <w:r w:rsidRPr="003C4905">
              <w:t>%</w:t>
            </w:r>
          </w:p>
        </w:tc>
        <w:tc>
          <w:tcPr>
            <w:tcW w:w="960" w:type="dxa"/>
            <w:tcBorders>
              <w:top w:val="single" w:sz="4" w:space="0" w:color="auto"/>
              <w:left w:val="nil"/>
              <w:bottom w:val="single" w:sz="4" w:space="0" w:color="auto"/>
              <w:right w:val="single" w:sz="4" w:space="0" w:color="FFFFFF"/>
            </w:tcBorders>
            <w:shd w:val="clear" w:color="000000" w:fill="1F497D" w:themeFill="text2"/>
            <w:vAlign w:val="center"/>
            <w:hideMark/>
          </w:tcPr>
          <w:p w:rsidR="00A61B6E" w:rsidRPr="003C4905" w:rsidRDefault="00A61B6E" w:rsidP="00A61B6E">
            <w:pPr>
              <w:pStyle w:val="TableHeader"/>
            </w:pPr>
            <w:r w:rsidRPr="003C4905">
              <w:t>SDG&amp;E</w:t>
            </w:r>
          </w:p>
        </w:tc>
        <w:tc>
          <w:tcPr>
            <w:tcW w:w="960" w:type="dxa"/>
            <w:tcBorders>
              <w:top w:val="single" w:sz="4" w:space="0" w:color="auto"/>
              <w:left w:val="nil"/>
              <w:bottom w:val="single" w:sz="4" w:space="0" w:color="auto"/>
              <w:right w:val="single" w:sz="4" w:space="0" w:color="FFFFFF"/>
            </w:tcBorders>
            <w:shd w:val="clear" w:color="000000" w:fill="1F497D" w:themeFill="text2"/>
            <w:vAlign w:val="center"/>
            <w:hideMark/>
          </w:tcPr>
          <w:p w:rsidR="00A61B6E" w:rsidRPr="003C4905" w:rsidRDefault="00A61B6E" w:rsidP="00A61B6E">
            <w:pPr>
              <w:pStyle w:val="TableHeader"/>
            </w:pPr>
            <w:r w:rsidRPr="003C4905">
              <w:t>%</w:t>
            </w:r>
          </w:p>
        </w:tc>
        <w:tc>
          <w:tcPr>
            <w:tcW w:w="960" w:type="dxa"/>
            <w:tcBorders>
              <w:top w:val="single" w:sz="4" w:space="0" w:color="auto"/>
              <w:left w:val="nil"/>
              <w:bottom w:val="single" w:sz="4" w:space="0" w:color="auto"/>
              <w:right w:val="single" w:sz="4" w:space="0" w:color="FFFFFF"/>
            </w:tcBorders>
            <w:shd w:val="clear" w:color="000000" w:fill="1F497D" w:themeFill="text2"/>
            <w:vAlign w:val="center"/>
            <w:hideMark/>
          </w:tcPr>
          <w:p w:rsidR="00A61B6E" w:rsidRPr="003C4905" w:rsidRDefault="00A61B6E" w:rsidP="00A61B6E">
            <w:pPr>
              <w:pStyle w:val="TableHeader"/>
            </w:pPr>
            <w:r w:rsidRPr="003C4905">
              <w:t>Total</w:t>
            </w:r>
          </w:p>
        </w:tc>
        <w:tc>
          <w:tcPr>
            <w:tcW w:w="960" w:type="dxa"/>
            <w:tcBorders>
              <w:top w:val="single" w:sz="4" w:space="0" w:color="auto"/>
              <w:left w:val="nil"/>
              <w:bottom w:val="single" w:sz="4" w:space="0" w:color="auto"/>
              <w:right w:val="single" w:sz="4" w:space="0" w:color="auto"/>
            </w:tcBorders>
            <w:shd w:val="clear" w:color="000000" w:fill="1F497D" w:themeFill="text2"/>
            <w:vAlign w:val="center"/>
            <w:hideMark/>
          </w:tcPr>
          <w:p w:rsidR="00A61B6E" w:rsidRPr="003C4905" w:rsidRDefault="00A61B6E" w:rsidP="00A61B6E">
            <w:pPr>
              <w:pStyle w:val="TableHeader"/>
            </w:pPr>
            <w:r w:rsidRPr="003C4905">
              <w:t>%</w:t>
            </w:r>
          </w:p>
        </w:tc>
      </w:tr>
      <w:tr w:rsidR="00A61B6E" w:rsidRPr="003C4905" w:rsidTr="00A61B6E">
        <w:trPr>
          <w:trHeight w:val="54"/>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212</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12.9%</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142</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4.5%</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197</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17.2%</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551</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9.3%</w:t>
            </w:r>
          </w:p>
        </w:tc>
      </w:tr>
      <w:tr w:rsidR="00A61B6E" w:rsidRPr="003C4905" w:rsidTr="00A61B6E">
        <w:trPr>
          <w:trHeight w:val="89"/>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2</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132</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8.0%</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238</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7.5%</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192</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16.8%</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562</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9.4%</w:t>
            </w:r>
          </w:p>
        </w:tc>
      </w:tr>
      <w:tr w:rsidR="00A61B6E" w:rsidRPr="003C4905" w:rsidTr="00A61B6E">
        <w:trPr>
          <w:trHeight w:val="54"/>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3</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166</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10.1%</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236</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7.5%</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65</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5.7%</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467</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7.8%</w:t>
            </w:r>
          </w:p>
        </w:tc>
      </w:tr>
      <w:tr w:rsidR="00A61B6E" w:rsidRPr="003C4905" w:rsidTr="00A61B6E">
        <w:trPr>
          <w:trHeight w:val="152"/>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4</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161</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9.8%</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74</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2.3%</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224</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19.6%</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459</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7.7%</w:t>
            </w:r>
          </w:p>
        </w:tc>
      </w:tr>
      <w:tr w:rsidR="00A61B6E" w:rsidRPr="003C4905" w:rsidTr="00A61B6E">
        <w:trPr>
          <w:trHeight w:val="98"/>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5</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294</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17.9%</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456</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14.4%</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115</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10.1%</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865</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14.5%</w:t>
            </w:r>
          </w:p>
        </w:tc>
      </w:tr>
      <w:tr w:rsidR="00A61B6E" w:rsidRPr="003C4905" w:rsidTr="00A61B6E">
        <w:trPr>
          <w:trHeight w:val="134"/>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6</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151</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9.2%</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266</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8.4%</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94</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8.2%</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511</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8.6%</w:t>
            </w:r>
          </w:p>
        </w:tc>
      </w:tr>
      <w:tr w:rsidR="00A61B6E" w:rsidRPr="003C4905" w:rsidTr="00A61B6E">
        <w:trPr>
          <w:trHeight w:val="71"/>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7</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116</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7.0%</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509</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16.1%</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81</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7.1%</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706</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11.9%</w:t>
            </w:r>
          </w:p>
        </w:tc>
      </w:tr>
      <w:tr w:rsidR="00A61B6E" w:rsidRPr="003C4905" w:rsidTr="00A61B6E">
        <w:trPr>
          <w:trHeight w:val="98"/>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8</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120</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7.3%</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485</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15.3%</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32</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2.8%</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637</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10.7%</w:t>
            </w:r>
          </w:p>
        </w:tc>
      </w:tr>
      <w:tr w:rsidR="00A61B6E" w:rsidRPr="003C4905" w:rsidTr="00A61B6E">
        <w:trPr>
          <w:trHeight w:val="54"/>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9</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106</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6.4%</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131</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4.1%</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97</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8.5%</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334</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5.6%</w:t>
            </w:r>
          </w:p>
        </w:tc>
      </w:tr>
      <w:tr w:rsidR="00A61B6E" w:rsidRPr="003C4905" w:rsidTr="00A61B6E">
        <w:trPr>
          <w:trHeight w:val="134"/>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10</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188</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11.4%</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628</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19.8%</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47</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4.1%</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863</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pPr>
            <w:r w:rsidRPr="003C4905">
              <w:t>14.5%</w:t>
            </w:r>
          </w:p>
        </w:tc>
      </w:tr>
      <w:tr w:rsidR="00A61B6E" w:rsidRPr="003C4905" w:rsidTr="00A61B6E">
        <w:trPr>
          <w:trHeight w:val="269"/>
        </w:trPr>
        <w:tc>
          <w:tcPr>
            <w:tcW w:w="1400" w:type="dxa"/>
            <w:tcBorders>
              <w:top w:val="nil"/>
              <w:left w:val="single" w:sz="4" w:space="0" w:color="auto"/>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rPr>
                <w:b/>
                <w:bCs/>
              </w:rPr>
            </w:pPr>
            <w:r w:rsidRPr="003C4905">
              <w:rPr>
                <w:b/>
                <w:bCs/>
              </w:rPr>
              <w:t>Total</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rPr>
                <w:b/>
                <w:bCs/>
              </w:rPr>
            </w:pPr>
            <w:r w:rsidRPr="003C4905">
              <w:rPr>
                <w:b/>
                <w:bCs/>
              </w:rPr>
              <w:t>1,646</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rPr>
                <w:b/>
                <w:bCs/>
              </w:rPr>
            </w:pPr>
            <w:r w:rsidRPr="003C4905">
              <w:rPr>
                <w:b/>
                <w:bCs/>
              </w:rPr>
              <w:t>100%</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rPr>
                <w:b/>
                <w:bCs/>
              </w:rPr>
            </w:pPr>
            <w:r w:rsidRPr="003C4905">
              <w:rPr>
                <w:b/>
                <w:bCs/>
              </w:rPr>
              <w:t>3,165</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rPr>
                <w:b/>
                <w:bCs/>
              </w:rPr>
            </w:pPr>
            <w:r w:rsidRPr="003C4905">
              <w:rPr>
                <w:b/>
                <w:bCs/>
              </w:rPr>
              <w:t>100%</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rPr>
                <w:b/>
                <w:bCs/>
              </w:rPr>
            </w:pPr>
            <w:r w:rsidRPr="003C4905">
              <w:rPr>
                <w:b/>
                <w:bCs/>
              </w:rPr>
              <w:t>1,144</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rPr>
                <w:b/>
                <w:bCs/>
              </w:rPr>
            </w:pPr>
            <w:r w:rsidRPr="003C4905">
              <w:rPr>
                <w:b/>
                <w:bCs/>
              </w:rPr>
              <w:t>100%</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rPr>
                <w:b/>
                <w:bCs/>
              </w:rPr>
            </w:pPr>
            <w:r w:rsidRPr="003C4905">
              <w:rPr>
                <w:b/>
                <w:bCs/>
              </w:rPr>
              <w:t>5,955</w:t>
            </w:r>
          </w:p>
        </w:tc>
        <w:tc>
          <w:tcPr>
            <w:tcW w:w="960" w:type="dxa"/>
            <w:tcBorders>
              <w:top w:val="nil"/>
              <w:left w:val="nil"/>
              <w:bottom w:val="single" w:sz="4" w:space="0" w:color="auto"/>
              <w:right w:val="single" w:sz="4" w:space="0" w:color="auto"/>
            </w:tcBorders>
            <w:shd w:val="clear" w:color="auto" w:fill="auto"/>
            <w:noWrap/>
            <w:vAlign w:val="center"/>
            <w:hideMark/>
          </w:tcPr>
          <w:p w:rsidR="00A61B6E" w:rsidRPr="003C4905" w:rsidRDefault="00A61B6E" w:rsidP="00A61B6E">
            <w:pPr>
              <w:pStyle w:val="TableText"/>
              <w:spacing w:before="20" w:after="20"/>
              <w:contextualSpacing/>
              <w:rPr>
                <w:b/>
                <w:bCs/>
              </w:rPr>
            </w:pPr>
            <w:r w:rsidRPr="003C4905">
              <w:rPr>
                <w:b/>
                <w:bCs/>
              </w:rPr>
              <w:t>100%</w:t>
            </w:r>
          </w:p>
        </w:tc>
      </w:tr>
    </w:tbl>
    <w:p w:rsidR="00A61B6E" w:rsidRDefault="00A61B6E" w:rsidP="00A61B6E">
      <w:pPr>
        <w:pStyle w:val="BodyParaAfterTableFigure"/>
      </w:pPr>
      <w:r>
        <w:t xml:space="preserve">Figure C-1 shows actual and predicted load averaged across a group of event-like proxy days for the average customer at each utility.  The figure is an example of out-of-sample testing.  The parameters </w:t>
      </w:r>
      <w:r>
        <w:lastRenderedPageBreak/>
        <w:t xml:space="preserve">used to calculate the reference load were derived from a dataset that did not contain the days for which the predictions were made.  Percent difference between actual and predicted load ranges by utility.  The individual customer regressions at </w:t>
      </w:r>
      <w:r w:rsidR="00947055">
        <w:t>SC</w:t>
      </w:r>
      <w:r>
        <w:t>E show the least bias</w:t>
      </w:r>
      <w:r w:rsidR="0086489C">
        <w:t xml:space="preserve"> (-0.7%)</w:t>
      </w:r>
      <w:r>
        <w:t xml:space="preserve"> of any of the three utilities at the program level.  During the event hours of 2</w:t>
      </w:r>
      <w:r w:rsidR="003F58C2">
        <w:t>–</w:t>
      </w:r>
      <w:r>
        <w:t>6 PM, there is no visual difference between actual an</w:t>
      </w:r>
      <w:r w:rsidR="00947055">
        <w:t>d predicted loads.  For both PG&amp;E</w:t>
      </w:r>
      <w:r>
        <w:t xml:space="preserve"> and SDG&amp;E, the models show more bias, but the bias is relatively small</w:t>
      </w:r>
      <w:r w:rsidR="00947055">
        <w:t>, -1.2% and -2.0%, for the CPP period</w:t>
      </w:r>
      <w:r>
        <w:t xml:space="preserve">.  In both cases, actual load is </w:t>
      </w:r>
      <w:r w:rsidR="00947055">
        <w:t>less</w:t>
      </w:r>
      <w:r>
        <w:t xml:space="preserve"> than predicted load.  For SDG&amp;E, this pattern persists more or less throughout the average event-like proxy day, while at SCE the under prediction is most pronounced in the early morning hours and during the afternoon event period of 2</w:t>
      </w:r>
      <w:r w:rsidR="003F58C2">
        <w:t>–</w:t>
      </w:r>
      <w:r>
        <w:t>6 PM, though to a lesser extent.</w:t>
      </w:r>
      <w:r w:rsidR="0086489C">
        <w:t xml:space="preserve">  Although bias is small for each utility, it is important to understand that small biases translate into large error in the percent demand reductions. For example, a bias -2% in the reference loads would produce impacts estimates of 4.0% if the true reduction were 6%.  The small bias in the reference load can have a large effect of estimated demand reductions, particularly when only a small share of the load is reduced.   </w:t>
      </w:r>
    </w:p>
    <w:p w:rsidR="00A61B6E" w:rsidRPr="0062749C" w:rsidRDefault="00A61B6E" w:rsidP="00A61B6E">
      <w:pPr>
        <w:pStyle w:val="TableFigureCaption"/>
      </w:pPr>
      <w:r>
        <w:t>Figure C-1: Program Level Out-of-</w:t>
      </w:r>
      <w:r w:rsidR="00CA470C">
        <w:t>s</w:t>
      </w:r>
      <w:r>
        <w:t>ample Test Results – Average Day</w:t>
      </w:r>
    </w:p>
    <w:p w:rsidR="00A61B6E" w:rsidRDefault="00A61B6E" w:rsidP="00A61B6E">
      <w:pPr>
        <w:pStyle w:val="BodyParagraph"/>
      </w:pPr>
      <w:r>
        <w:rPr>
          <w:noProof/>
        </w:rPr>
        <w:drawing>
          <wp:inline distT="0" distB="0" distL="0" distR="0" wp14:anchorId="08669565" wp14:editId="627E0939">
            <wp:extent cx="6167887" cy="3554062"/>
            <wp:effectExtent l="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67978" cy="3554115"/>
                    </a:xfrm>
                    <a:prstGeom prst="rect">
                      <a:avLst/>
                    </a:prstGeom>
                    <a:noFill/>
                    <a:ln>
                      <a:noFill/>
                    </a:ln>
                  </pic:spPr>
                </pic:pic>
              </a:graphicData>
            </a:graphic>
          </wp:inline>
        </w:drawing>
      </w:r>
    </w:p>
    <w:p w:rsidR="00A61B6E" w:rsidRDefault="00A61B6E" w:rsidP="00A61B6E">
      <w:pPr>
        <w:pStyle w:val="BodyParaAfterTableFigure"/>
      </w:pPr>
      <w:r>
        <w:t>Table C-</w:t>
      </w:r>
      <w:r w:rsidR="003F58C2">
        <w:t>4</w:t>
      </w:r>
      <w:r>
        <w:t xml:space="preserve"> is an extension of the previous figure.  It shows the percent difference between predicted and actual loads.  However, unlike Figure C-1, it shows the errors by individual proxy day.  PG&amp;E has the lowest errors across proxy days, though on average the mean percent error is of greater absolute magnitude than the mean percent error at SCE.  At both SCE and SDG&amp;E, the errors on individual event days rang</w:t>
      </w:r>
      <w:r w:rsidR="003F58C2">
        <w:t>e</w:t>
      </w:r>
      <w:r>
        <w:t xml:space="preserve"> widely, by almost 10 percentage points from the greatest negative error to the greatest positive error.  Apart from the mean percent error, the other metrics, MAPE and CVRMSE, lend support to the individual day results.  PG&amp;E has the least bias across these metrics, followed by SCE and then SDG&amp;E.</w:t>
      </w:r>
    </w:p>
    <w:p w:rsidR="0086489C" w:rsidRDefault="0086489C" w:rsidP="0086489C">
      <w:pPr>
        <w:pStyle w:val="BodyParagraph"/>
      </w:pPr>
      <w:r>
        <w:lastRenderedPageBreak/>
        <w:t xml:space="preserve">Table C-4 result are directly comparable to the false experiment results conducted using difference-in-differences, which are presented in Table </w:t>
      </w:r>
      <w:r w:rsidR="00C4748D">
        <w:t xml:space="preserve">3-2.  The difference-in-differences approach categorically showed less bias and more precision for individual event days than individual customer regression; this was true for all three utilities.  </w:t>
      </w:r>
    </w:p>
    <w:p w:rsidR="00A61B6E" w:rsidRDefault="00A61B6E" w:rsidP="0086489C">
      <w:pPr>
        <w:pStyle w:val="TableFigureCaption"/>
      </w:pPr>
      <w:r>
        <w:t>Table C-</w:t>
      </w:r>
      <w:r w:rsidR="003F58C2">
        <w:t>4</w:t>
      </w:r>
      <w:r>
        <w:t>: Program Level Out-of-</w:t>
      </w:r>
      <w:r w:rsidR="00CA470C">
        <w:t>s</w:t>
      </w:r>
      <w:r>
        <w:t>ample Test Results – Individual Days</w:t>
      </w:r>
    </w:p>
    <w:tbl>
      <w:tblPr>
        <w:tblW w:w="6880" w:type="dxa"/>
        <w:jc w:val="center"/>
        <w:tblLook w:val="04A0" w:firstRow="1" w:lastRow="0" w:firstColumn="1" w:lastColumn="0" w:noHBand="0" w:noVBand="1"/>
      </w:tblPr>
      <w:tblGrid>
        <w:gridCol w:w="2100"/>
        <w:gridCol w:w="1060"/>
        <w:gridCol w:w="1240"/>
        <w:gridCol w:w="1240"/>
        <w:gridCol w:w="1240"/>
      </w:tblGrid>
      <w:tr w:rsidR="00A61B6E" w:rsidRPr="00FB7CC0" w:rsidTr="00A61B6E">
        <w:trPr>
          <w:trHeight w:val="600"/>
          <w:jc w:val="center"/>
        </w:trPr>
        <w:tc>
          <w:tcPr>
            <w:tcW w:w="2100" w:type="dxa"/>
            <w:tcBorders>
              <w:top w:val="single" w:sz="4" w:space="0" w:color="auto"/>
              <w:left w:val="single" w:sz="4" w:space="0" w:color="auto"/>
              <w:bottom w:val="single" w:sz="4" w:space="0" w:color="auto"/>
              <w:right w:val="single" w:sz="4" w:space="0" w:color="FFFFFF"/>
            </w:tcBorders>
            <w:shd w:val="clear" w:color="000000" w:fill="1F497D" w:themeFill="text2"/>
            <w:vAlign w:val="center"/>
            <w:hideMark/>
          </w:tcPr>
          <w:p w:rsidR="00A61B6E" w:rsidRPr="00FB7CC0" w:rsidRDefault="00A61B6E" w:rsidP="00A61B6E">
            <w:pPr>
              <w:pStyle w:val="TableHeader"/>
            </w:pPr>
            <w:r w:rsidRPr="00FB7CC0">
              <w:t>Metric</w:t>
            </w:r>
          </w:p>
        </w:tc>
        <w:tc>
          <w:tcPr>
            <w:tcW w:w="1060" w:type="dxa"/>
            <w:tcBorders>
              <w:top w:val="single" w:sz="4" w:space="0" w:color="auto"/>
              <w:left w:val="nil"/>
              <w:bottom w:val="single" w:sz="4" w:space="0" w:color="auto"/>
              <w:right w:val="single" w:sz="4" w:space="0" w:color="FFFFFF"/>
            </w:tcBorders>
            <w:shd w:val="clear" w:color="000000" w:fill="1F497D" w:themeFill="text2"/>
            <w:vAlign w:val="bottom"/>
            <w:hideMark/>
          </w:tcPr>
          <w:p w:rsidR="00A61B6E" w:rsidRPr="00FB7CC0" w:rsidRDefault="00A61B6E" w:rsidP="00A61B6E">
            <w:pPr>
              <w:pStyle w:val="TableHeader"/>
            </w:pPr>
            <w:r w:rsidRPr="00FB7CC0">
              <w:t>Proxy Event</w:t>
            </w:r>
          </w:p>
        </w:tc>
        <w:tc>
          <w:tcPr>
            <w:tcW w:w="1240" w:type="dxa"/>
            <w:tcBorders>
              <w:top w:val="single" w:sz="4" w:space="0" w:color="auto"/>
              <w:left w:val="nil"/>
              <w:bottom w:val="single" w:sz="4" w:space="0" w:color="auto"/>
              <w:right w:val="single" w:sz="4" w:space="0" w:color="FFFFFF"/>
            </w:tcBorders>
            <w:shd w:val="clear" w:color="000000" w:fill="1F497D" w:themeFill="text2"/>
            <w:vAlign w:val="center"/>
            <w:hideMark/>
          </w:tcPr>
          <w:p w:rsidR="00A61B6E" w:rsidRDefault="00A61B6E" w:rsidP="00A61B6E">
            <w:pPr>
              <w:pStyle w:val="TableHeader"/>
            </w:pPr>
            <w:r w:rsidRPr="00FB7CC0">
              <w:t>PG&amp;E</w:t>
            </w:r>
          </w:p>
          <w:p w:rsidR="00947055" w:rsidRPr="00FB7CC0" w:rsidRDefault="00947055" w:rsidP="00A61B6E">
            <w:pPr>
              <w:pStyle w:val="TableHeader"/>
            </w:pPr>
            <w:r>
              <w:t>(1-6 PM)</w:t>
            </w:r>
          </w:p>
        </w:tc>
        <w:tc>
          <w:tcPr>
            <w:tcW w:w="1240" w:type="dxa"/>
            <w:tcBorders>
              <w:top w:val="single" w:sz="4" w:space="0" w:color="auto"/>
              <w:left w:val="nil"/>
              <w:bottom w:val="single" w:sz="4" w:space="0" w:color="auto"/>
              <w:right w:val="single" w:sz="4" w:space="0" w:color="FFFFFF"/>
            </w:tcBorders>
            <w:shd w:val="clear" w:color="000000" w:fill="1F497D" w:themeFill="text2"/>
            <w:vAlign w:val="center"/>
            <w:hideMark/>
          </w:tcPr>
          <w:p w:rsidR="00A61B6E" w:rsidRDefault="00A61B6E" w:rsidP="00A61B6E">
            <w:pPr>
              <w:pStyle w:val="TableHeader"/>
            </w:pPr>
            <w:r w:rsidRPr="00FB7CC0">
              <w:t xml:space="preserve">SCE </w:t>
            </w:r>
          </w:p>
          <w:p w:rsidR="00947055" w:rsidRPr="00FB7CC0" w:rsidRDefault="00947055" w:rsidP="00A61B6E">
            <w:pPr>
              <w:pStyle w:val="TableHeader"/>
            </w:pPr>
            <w:r>
              <w:t>(1-6 PM)</w:t>
            </w:r>
          </w:p>
        </w:tc>
        <w:tc>
          <w:tcPr>
            <w:tcW w:w="1240" w:type="dxa"/>
            <w:tcBorders>
              <w:top w:val="single" w:sz="4" w:space="0" w:color="auto"/>
              <w:left w:val="nil"/>
              <w:bottom w:val="single" w:sz="4" w:space="0" w:color="auto"/>
              <w:right w:val="single" w:sz="4" w:space="0" w:color="auto"/>
            </w:tcBorders>
            <w:shd w:val="clear" w:color="000000" w:fill="1F497D" w:themeFill="text2"/>
            <w:vAlign w:val="center"/>
            <w:hideMark/>
          </w:tcPr>
          <w:p w:rsidR="00A61B6E" w:rsidRDefault="00A61B6E" w:rsidP="00A61B6E">
            <w:pPr>
              <w:pStyle w:val="TableHeader"/>
            </w:pPr>
            <w:r w:rsidRPr="00FB7CC0">
              <w:t>SDG&amp;E</w:t>
            </w:r>
          </w:p>
          <w:p w:rsidR="00947055" w:rsidRPr="00FB7CC0" w:rsidRDefault="00947055" w:rsidP="00A61B6E">
            <w:pPr>
              <w:pStyle w:val="TableHeader"/>
            </w:pPr>
            <w:r>
              <w:t>(1-6 PM)</w:t>
            </w:r>
          </w:p>
        </w:tc>
      </w:tr>
      <w:tr w:rsidR="00A61B6E" w:rsidRPr="00FB7CC0" w:rsidTr="00A61B6E">
        <w:trPr>
          <w:trHeight w:val="360"/>
          <w:jc w:val="center"/>
        </w:trPr>
        <w:tc>
          <w:tcPr>
            <w:tcW w:w="2100" w:type="dxa"/>
            <w:vMerge w:val="restart"/>
            <w:tcBorders>
              <w:top w:val="nil"/>
              <w:left w:val="single" w:sz="4" w:space="0" w:color="auto"/>
              <w:bottom w:val="single" w:sz="4" w:space="0" w:color="auto"/>
              <w:right w:val="single" w:sz="4" w:space="0" w:color="auto"/>
            </w:tcBorders>
            <w:shd w:val="clear" w:color="auto" w:fill="auto"/>
            <w:vAlign w:val="center"/>
            <w:hideMark/>
          </w:tcPr>
          <w:p w:rsidR="00A61B6E" w:rsidRPr="00FB7CC0" w:rsidRDefault="00A61B6E" w:rsidP="00A61B6E">
            <w:pPr>
              <w:pStyle w:val="TableText"/>
            </w:pPr>
            <w:r w:rsidRPr="00FB7CC0">
              <w:t>Individual Day Percent Error</w:t>
            </w: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1</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0.6%</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3.2%</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-2.1%</w:t>
            </w:r>
          </w:p>
        </w:tc>
      </w:tr>
      <w:tr w:rsidR="00A61B6E" w:rsidRPr="00FB7CC0" w:rsidTr="00A61B6E">
        <w:trPr>
          <w:trHeight w:val="360"/>
          <w:jc w:val="center"/>
        </w:trPr>
        <w:tc>
          <w:tcPr>
            <w:tcW w:w="2100" w:type="dxa"/>
            <w:vMerge/>
            <w:tcBorders>
              <w:top w:val="nil"/>
              <w:left w:val="single" w:sz="4" w:space="0" w:color="auto"/>
              <w:bottom w:val="single" w:sz="4" w:space="0" w:color="auto"/>
              <w:right w:val="single" w:sz="4" w:space="0" w:color="auto"/>
            </w:tcBorders>
            <w:vAlign w:val="center"/>
            <w:hideMark/>
          </w:tcPr>
          <w:p w:rsidR="00A61B6E" w:rsidRPr="00FB7CC0" w:rsidRDefault="00A61B6E" w:rsidP="00A61B6E">
            <w:pPr>
              <w:pStyle w:val="TableText"/>
            </w:pP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2</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-1.5%</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5.9%</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-5.0%</w:t>
            </w:r>
          </w:p>
        </w:tc>
      </w:tr>
      <w:tr w:rsidR="00A61B6E" w:rsidRPr="00FB7CC0" w:rsidTr="00A61B6E">
        <w:trPr>
          <w:trHeight w:val="360"/>
          <w:jc w:val="center"/>
        </w:trPr>
        <w:tc>
          <w:tcPr>
            <w:tcW w:w="2100" w:type="dxa"/>
            <w:vMerge/>
            <w:tcBorders>
              <w:top w:val="nil"/>
              <w:left w:val="single" w:sz="4" w:space="0" w:color="auto"/>
              <w:bottom w:val="single" w:sz="4" w:space="0" w:color="auto"/>
              <w:right w:val="single" w:sz="4" w:space="0" w:color="auto"/>
            </w:tcBorders>
            <w:vAlign w:val="center"/>
            <w:hideMark/>
          </w:tcPr>
          <w:p w:rsidR="00A61B6E" w:rsidRPr="00FB7CC0" w:rsidRDefault="00A61B6E" w:rsidP="00A61B6E">
            <w:pPr>
              <w:pStyle w:val="TableText"/>
            </w:pP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3</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-2.2%</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1.8%</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-1.5%</w:t>
            </w:r>
          </w:p>
        </w:tc>
      </w:tr>
      <w:tr w:rsidR="00A61B6E" w:rsidRPr="00FB7CC0" w:rsidTr="00A61B6E">
        <w:trPr>
          <w:trHeight w:val="360"/>
          <w:jc w:val="center"/>
        </w:trPr>
        <w:tc>
          <w:tcPr>
            <w:tcW w:w="2100" w:type="dxa"/>
            <w:vMerge/>
            <w:tcBorders>
              <w:top w:val="nil"/>
              <w:left w:val="single" w:sz="4" w:space="0" w:color="auto"/>
              <w:bottom w:val="single" w:sz="4" w:space="0" w:color="auto"/>
              <w:right w:val="single" w:sz="4" w:space="0" w:color="auto"/>
            </w:tcBorders>
            <w:vAlign w:val="center"/>
            <w:hideMark/>
          </w:tcPr>
          <w:p w:rsidR="00A61B6E" w:rsidRPr="00FB7CC0" w:rsidRDefault="00A61B6E" w:rsidP="00A61B6E">
            <w:pPr>
              <w:pStyle w:val="TableText"/>
            </w:pP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4</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2.7%</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0.2%</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-4.6%</w:t>
            </w:r>
          </w:p>
        </w:tc>
      </w:tr>
      <w:tr w:rsidR="00A61B6E" w:rsidRPr="00FB7CC0" w:rsidTr="00A61B6E">
        <w:trPr>
          <w:trHeight w:val="360"/>
          <w:jc w:val="center"/>
        </w:trPr>
        <w:tc>
          <w:tcPr>
            <w:tcW w:w="2100" w:type="dxa"/>
            <w:vMerge/>
            <w:tcBorders>
              <w:top w:val="nil"/>
              <w:left w:val="single" w:sz="4" w:space="0" w:color="auto"/>
              <w:bottom w:val="single" w:sz="4" w:space="0" w:color="auto"/>
              <w:right w:val="single" w:sz="4" w:space="0" w:color="auto"/>
            </w:tcBorders>
            <w:vAlign w:val="center"/>
            <w:hideMark/>
          </w:tcPr>
          <w:p w:rsidR="00A61B6E" w:rsidRPr="00FB7CC0" w:rsidRDefault="00A61B6E" w:rsidP="00A61B6E">
            <w:pPr>
              <w:pStyle w:val="TableText"/>
            </w:pP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5</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-2.6%</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1.4%</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-1.8%</w:t>
            </w:r>
          </w:p>
        </w:tc>
      </w:tr>
      <w:tr w:rsidR="00A61B6E" w:rsidRPr="00FB7CC0" w:rsidTr="00A61B6E">
        <w:trPr>
          <w:trHeight w:val="360"/>
          <w:jc w:val="center"/>
        </w:trPr>
        <w:tc>
          <w:tcPr>
            <w:tcW w:w="2100" w:type="dxa"/>
            <w:vMerge/>
            <w:tcBorders>
              <w:top w:val="nil"/>
              <w:left w:val="single" w:sz="4" w:space="0" w:color="auto"/>
              <w:bottom w:val="single" w:sz="4" w:space="0" w:color="auto"/>
              <w:right w:val="single" w:sz="4" w:space="0" w:color="auto"/>
            </w:tcBorders>
            <w:vAlign w:val="center"/>
            <w:hideMark/>
          </w:tcPr>
          <w:p w:rsidR="00A61B6E" w:rsidRPr="00FB7CC0" w:rsidRDefault="00A61B6E" w:rsidP="00A61B6E">
            <w:pPr>
              <w:pStyle w:val="TableText"/>
            </w:pP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6</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-2.2%</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-0.9%</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-0.2%</w:t>
            </w:r>
          </w:p>
        </w:tc>
      </w:tr>
      <w:tr w:rsidR="00A61B6E" w:rsidRPr="00FB7CC0" w:rsidTr="00A61B6E">
        <w:trPr>
          <w:trHeight w:val="360"/>
          <w:jc w:val="center"/>
        </w:trPr>
        <w:tc>
          <w:tcPr>
            <w:tcW w:w="2100" w:type="dxa"/>
            <w:vMerge/>
            <w:tcBorders>
              <w:top w:val="nil"/>
              <w:left w:val="single" w:sz="4" w:space="0" w:color="auto"/>
              <w:bottom w:val="single" w:sz="4" w:space="0" w:color="auto"/>
              <w:right w:val="single" w:sz="4" w:space="0" w:color="auto"/>
            </w:tcBorders>
            <w:vAlign w:val="center"/>
            <w:hideMark/>
          </w:tcPr>
          <w:p w:rsidR="00A61B6E" w:rsidRPr="00FB7CC0" w:rsidRDefault="00A61B6E" w:rsidP="00A61B6E">
            <w:pPr>
              <w:pStyle w:val="TableText"/>
            </w:pP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7</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-2.9%</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-0.7%</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4.7%</w:t>
            </w:r>
          </w:p>
        </w:tc>
      </w:tr>
      <w:tr w:rsidR="00A61B6E" w:rsidRPr="00FB7CC0" w:rsidTr="00A61B6E">
        <w:trPr>
          <w:trHeight w:val="360"/>
          <w:jc w:val="center"/>
        </w:trPr>
        <w:tc>
          <w:tcPr>
            <w:tcW w:w="2100" w:type="dxa"/>
            <w:vMerge/>
            <w:tcBorders>
              <w:top w:val="nil"/>
              <w:left w:val="single" w:sz="4" w:space="0" w:color="auto"/>
              <w:bottom w:val="single" w:sz="4" w:space="0" w:color="auto"/>
              <w:right w:val="single" w:sz="4" w:space="0" w:color="auto"/>
            </w:tcBorders>
            <w:vAlign w:val="center"/>
            <w:hideMark/>
          </w:tcPr>
          <w:p w:rsidR="00A61B6E" w:rsidRPr="00FB7CC0" w:rsidRDefault="00A61B6E" w:rsidP="00A61B6E">
            <w:pPr>
              <w:pStyle w:val="TableText"/>
            </w:pP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8</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CA470C" w:rsidP="00A61B6E">
            <w:pPr>
              <w:pStyle w:val="TableText"/>
            </w:pPr>
            <w:r>
              <w:t>–</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0.4%</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-2.9%</w:t>
            </w:r>
          </w:p>
        </w:tc>
      </w:tr>
      <w:tr w:rsidR="00A61B6E" w:rsidRPr="00FB7CC0" w:rsidTr="00A61B6E">
        <w:trPr>
          <w:trHeight w:val="360"/>
          <w:jc w:val="center"/>
        </w:trPr>
        <w:tc>
          <w:tcPr>
            <w:tcW w:w="2100" w:type="dxa"/>
            <w:vMerge/>
            <w:tcBorders>
              <w:top w:val="nil"/>
              <w:left w:val="single" w:sz="4" w:space="0" w:color="auto"/>
              <w:bottom w:val="single" w:sz="4" w:space="0" w:color="auto"/>
              <w:right w:val="single" w:sz="4" w:space="0" w:color="auto"/>
            </w:tcBorders>
            <w:vAlign w:val="center"/>
            <w:hideMark/>
          </w:tcPr>
          <w:p w:rsidR="00A61B6E" w:rsidRPr="00FB7CC0" w:rsidRDefault="00A61B6E" w:rsidP="00A61B6E">
            <w:pPr>
              <w:pStyle w:val="TableText"/>
            </w:pP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9</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CA470C" w:rsidP="00A61B6E">
            <w:pPr>
              <w:pStyle w:val="TableText"/>
            </w:pPr>
            <w:r>
              <w:t>–</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-3.5%</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CA470C" w:rsidP="00A61B6E">
            <w:pPr>
              <w:pStyle w:val="TableText"/>
            </w:pPr>
            <w:r>
              <w:t>–</w:t>
            </w:r>
          </w:p>
        </w:tc>
      </w:tr>
      <w:tr w:rsidR="00A61B6E" w:rsidRPr="00FB7CC0" w:rsidTr="00A61B6E">
        <w:trPr>
          <w:trHeight w:val="360"/>
          <w:jc w:val="center"/>
        </w:trPr>
        <w:tc>
          <w:tcPr>
            <w:tcW w:w="2100" w:type="dxa"/>
            <w:vMerge/>
            <w:tcBorders>
              <w:top w:val="nil"/>
              <w:left w:val="single" w:sz="4" w:space="0" w:color="auto"/>
              <w:bottom w:val="single" w:sz="4" w:space="0" w:color="auto"/>
              <w:right w:val="single" w:sz="4" w:space="0" w:color="auto"/>
            </w:tcBorders>
            <w:vAlign w:val="center"/>
            <w:hideMark/>
          </w:tcPr>
          <w:p w:rsidR="00A61B6E" w:rsidRPr="00FB7CC0" w:rsidRDefault="00A61B6E" w:rsidP="00A61B6E">
            <w:pPr>
              <w:pStyle w:val="TableText"/>
            </w:pP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10</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CA470C" w:rsidP="00A61B6E">
            <w:pPr>
              <w:pStyle w:val="TableText"/>
            </w:pPr>
            <w:r>
              <w:t>–</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-3.2%</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CA470C" w:rsidP="00A61B6E">
            <w:pPr>
              <w:pStyle w:val="TableText"/>
            </w:pPr>
            <w:r>
              <w:t>–</w:t>
            </w:r>
          </w:p>
        </w:tc>
      </w:tr>
      <w:tr w:rsidR="00A61B6E" w:rsidRPr="00FB7CC0" w:rsidTr="00A61B6E">
        <w:trPr>
          <w:trHeight w:val="360"/>
          <w:jc w:val="center"/>
        </w:trPr>
        <w:tc>
          <w:tcPr>
            <w:tcW w:w="2100" w:type="dxa"/>
            <w:vMerge/>
            <w:tcBorders>
              <w:top w:val="nil"/>
              <w:left w:val="single" w:sz="4" w:space="0" w:color="auto"/>
              <w:bottom w:val="single" w:sz="4" w:space="0" w:color="auto"/>
              <w:right w:val="single" w:sz="4" w:space="0" w:color="auto"/>
            </w:tcBorders>
            <w:vAlign w:val="center"/>
            <w:hideMark/>
          </w:tcPr>
          <w:p w:rsidR="00A61B6E" w:rsidRPr="00FB7CC0" w:rsidRDefault="00A61B6E" w:rsidP="00A61B6E">
            <w:pPr>
              <w:pStyle w:val="TableText"/>
            </w:pP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11</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CA470C" w:rsidP="00A61B6E">
            <w:pPr>
              <w:pStyle w:val="TableText"/>
            </w:pPr>
            <w:r>
              <w:t>–</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-2.8%</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CA470C" w:rsidP="00A61B6E">
            <w:pPr>
              <w:pStyle w:val="TableText"/>
            </w:pPr>
            <w:r>
              <w:t>–</w:t>
            </w:r>
          </w:p>
        </w:tc>
      </w:tr>
      <w:tr w:rsidR="00A61B6E" w:rsidRPr="00FB7CC0" w:rsidTr="00A61B6E">
        <w:trPr>
          <w:trHeight w:val="360"/>
          <w:jc w:val="center"/>
        </w:trPr>
        <w:tc>
          <w:tcPr>
            <w:tcW w:w="2100" w:type="dxa"/>
            <w:vMerge/>
            <w:tcBorders>
              <w:top w:val="nil"/>
              <w:left w:val="single" w:sz="4" w:space="0" w:color="auto"/>
              <w:bottom w:val="single" w:sz="4" w:space="0" w:color="auto"/>
              <w:right w:val="single" w:sz="4" w:space="0" w:color="auto"/>
            </w:tcBorders>
            <w:vAlign w:val="center"/>
            <w:hideMark/>
          </w:tcPr>
          <w:p w:rsidR="00A61B6E" w:rsidRPr="00FB7CC0" w:rsidRDefault="00A61B6E" w:rsidP="00A61B6E">
            <w:pPr>
              <w:pStyle w:val="TableText"/>
            </w:pP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12</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CA470C" w:rsidP="00A61B6E">
            <w:pPr>
              <w:pStyle w:val="TableText"/>
            </w:pPr>
            <w:r>
              <w:t>–</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-2.6%</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CA470C" w:rsidP="00A61B6E">
            <w:pPr>
              <w:pStyle w:val="TableText"/>
            </w:pPr>
            <w:r>
              <w:t>–</w:t>
            </w:r>
          </w:p>
        </w:tc>
      </w:tr>
      <w:tr w:rsidR="00A61B6E" w:rsidRPr="00FB7CC0" w:rsidTr="00A61B6E">
        <w:trPr>
          <w:trHeight w:val="360"/>
          <w:jc w:val="center"/>
        </w:trPr>
        <w:tc>
          <w:tcPr>
            <w:tcW w:w="2100" w:type="dxa"/>
            <w:vMerge/>
            <w:tcBorders>
              <w:top w:val="nil"/>
              <w:left w:val="single" w:sz="4" w:space="0" w:color="auto"/>
              <w:bottom w:val="single" w:sz="4" w:space="0" w:color="auto"/>
              <w:right w:val="single" w:sz="4" w:space="0" w:color="auto"/>
            </w:tcBorders>
            <w:vAlign w:val="center"/>
            <w:hideMark/>
          </w:tcPr>
          <w:p w:rsidR="00A61B6E" w:rsidRPr="00FB7CC0" w:rsidRDefault="00A61B6E" w:rsidP="00A61B6E">
            <w:pPr>
              <w:pStyle w:val="TableText"/>
            </w:pP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13</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CA470C" w:rsidP="00A61B6E">
            <w:pPr>
              <w:pStyle w:val="TableText"/>
            </w:pPr>
            <w:r>
              <w:t>–</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-4.1%</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CA470C" w:rsidP="00A61B6E">
            <w:pPr>
              <w:pStyle w:val="TableText"/>
            </w:pPr>
            <w:r>
              <w:t>–</w:t>
            </w:r>
          </w:p>
        </w:tc>
      </w:tr>
      <w:tr w:rsidR="00A61B6E" w:rsidRPr="00FB7CC0" w:rsidTr="00A61B6E">
        <w:trPr>
          <w:trHeight w:val="360"/>
          <w:jc w:val="center"/>
        </w:trPr>
        <w:tc>
          <w:tcPr>
            <w:tcW w:w="2100" w:type="dxa"/>
            <w:vMerge/>
            <w:tcBorders>
              <w:top w:val="nil"/>
              <w:left w:val="single" w:sz="4" w:space="0" w:color="auto"/>
              <w:bottom w:val="single" w:sz="4" w:space="0" w:color="auto"/>
              <w:right w:val="single" w:sz="4" w:space="0" w:color="auto"/>
            </w:tcBorders>
            <w:vAlign w:val="center"/>
            <w:hideMark/>
          </w:tcPr>
          <w:p w:rsidR="00A61B6E" w:rsidRPr="00FB7CC0" w:rsidRDefault="00A61B6E" w:rsidP="00A61B6E">
            <w:pPr>
              <w:pStyle w:val="TableText"/>
            </w:pPr>
          </w:p>
        </w:tc>
        <w:tc>
          <w:tcPr>
            <w:tcW w:w="106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14</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CA470C" w:rsidP="00A61B6E">
            <w:pPr>
              <w:pStyle w:val="TableText"/>
            </w:pPr>
            <w:r>
              <w:t>–</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pPr>
            <w:r w:rsidRPr="00FB7CC0">
              <w:t>-3.0%</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CA470C" w:rsidP="00A61B6E">
            <w:pPr>
              <w:pStyle w:val="TableText"/>
            </w:pPr>
            <w:r>
              <w:t>–</w:t>
            </w:r>
          </w:p>
        </w:tc>
      </w:tr>
      <w:tr w:rsidR="00A61B6E" w:rsidRPr="00FB7CC0" w:rsidTr="00A61B6E">
        <w:trPr>
          <w:trHeight w:val="360"/>
          <w:jc w:val="center"/>
        </w:trPr>
        <w:tc>
          <w:tcPr>
            <w:tcW w:w="31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1B6E" w:rsidRPr="00FB7CC0" w:rsidRDefault="00A61B6E" w:rsidP="00A61B6E">
            <w:pPr>
              <w:pStyle w:val="TableText"/>
              <w:rPr>
                <w:b/>
              </w:rPr>
            </w:pPr>
            <w:r w:rsidRPr="00FB7CC0">
              <w:rPr>
                <w:b/>
              </w:rPr>
              <w:t>Mean Percent Error (Bias)</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rPr>
                <w:b/>
              </w:rPr>
            </w:pPr>
            <w:r>
              <w:rPr>
                <w:b/>
              </w:rPr>
              <w:t>-</w:t>
            </w:r>
            <w:r w:rsidRPr="00FB7CC0">
              <w:rPr>
                <w:b/>
              </w:rPr>
              <w:t>1.2%</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rPr>
                <w:b/>
              </w:rPr>
            </w:pPr>
            <w:r>
              <w:rPr>
                <w:b/>
              </w:rPr>
              <w:t>-</w:t>
            </w:r>
            <w:r w:rsidRPr="00FB7CC0">
              <w:rPr>
                <w:b/>
              </w:rPr>
              <w:t>0.6%</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rPr>
                <w:b/>
              </w:rPr>
            </w:pPr>
            <w:r>
              <w:rPr>
                <w:b/>
              </w:rPr>
              <w:t>-</w:t>
            </w:r>
            <w:r w:rsidRPr="00FB7CC0">
              <w:rPr>
                <w:b/>
              </w:rPr>
              <w:t>2.0%</w:t>
            </w:r>
          </w:p>
        </w:tc>
      </w:tr>
      <w:tr w:rsidR="00A61B6E" w:rsidRPr="00FB7CC0" w:rsidTr="00A61B6E">
        <w:trPr>
          <w:trHeight w:val="360"/>
          <w:jc w:val="center"/>
        </w:trPr>
        <w:tc>
          <w:tcPr>
            <w:tcW w:w="31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1B6E" w:rsidRPr="00FB7CC0" w:rsidRDefault="00A61B6E" w:rsidP="00A61B6E">
            <w:pPr>
              <w:pStyle w:val="TableText"/>
              <w:rPr>
                <w:b/>
              </w:rPr>
            </w:pPr>
            <w:r w:rsidRPr="00FB7CC0">
              <w:rPr>
                <w:b/>
              </w:rPr>
              <w:t>Mean Absolute Percentage Error (MAPE) Goodness of Fit</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rPr>
                <w:b/>
              </w:rPr>
            </w:pPr>
            <w:r w:rsidRPr="00FB7CC0">
              <w:rPr>
                <w:b/>
              </w:rPr>
              <w:t>2.1%</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rPr>
                <w:b/>
              </w:rPr>
            </w:pPr>
            <w:r w:rsidRPr="00FB7CC0">
              <w:rPr>
                <w:b/>
              </w:rPr>
              <w:t>2.4%</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rPr>
                <w:b/>
              </w:rPr>
            </w:pPr>
            <w:r w:rsidRPr="00FB7CC0">
              <w:rPr>
                <w:b/>
              </w:rPr>
              <w:t>3.1%</w:t>
            </w:r>
          </w:p>
        </w:tc>
      </w:tr>
      <w:tr w:rsidR="00A61B6E" w:rsidRPr="00FB7CC0" w:rsidTr="00A61B6E">
        <w:trPr>
          <w:trHeight w:val="360"/>
          <w:jc w:val="center"/>
        </w:trPr>
        <w:tc>
          <w:tcPr>
            <w:tcW w:w="31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1B6E" w:rsidRPr="00FB7CC0" w:rsidRDefault="00A61B6E" w:rsidP="00A61B6E">
            <w:pPr>
              <w:pStyle w:val="TableText"/>
              <w:rPr>
                <w:b/>
              </w:rPr>
            </w:pPr>
            <w:r w:rsidRPr="00FB7CC0">
              <w:rPr>
                <w:b/>
              </w:rPr>
              <w:t>Normalized Root Mean Square Error (CVRMSE)</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rPr>
                <w:b/>
              </w:rPr>
            </w:pPr>
            <w:r w:rsidRPr="00FB7CC0">
              <w:rPr>
                <w:b/>
              </w:rPr>
              <w:t>2.3%</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rPr>
                <w:b/>
              </w:rPr>
            </w:pPr>
            <w:r w:rsidRPr="00FB7CC0">
              <w:rPr>
                <w:b/>
              </w:rPr>
              <w:t>2.8%</w:t>
            </w:r>
          </w:p>
        </w:tc>
        <w:tc>
          <w:tcPr>
            <w:tcW w:w="1240" w:type="dxa"/>
            <w:tcBorders>
              <w:top w:val="nil"/>
              <w:left w:val="nil"/>
              <w:bottom w:val="single" w:sz="4" w:space="0" w:color="auto"/>
              <w:right w:val="single" w:sz="4" w:space="0" w:color="auto"/>
            </w:tcBorders>
            <w:shd w:val="clear" w:color="auto" w:fill="auto"/>
            <w:noWrap/>
            <w:vAlign w:val="center"/>
            <w:hideMark/>
          </w:tcPr>
          <w:p w:rsidR="00A61B6E" w:rsidRPr="00FB7CC0" w:rsidRDefault="00A61B6E" w:rsidP="00A61B6E">
            <w:pPr>
              <w:pStyle w:val="TableText"/>
              <w:rPr>
                <w:b/>
              </w:rPr>
            </w:pPr>
            <w:r w:rsidRPr="00FB7CC0">
              <w:rPr>
                <w:b/>
              </w:rPr>
              <w:t>3.6%</w:t>
            </w:r>
          </w:p>
        </w:tc>
      </w:tr>
    </w:tbl>
    <w:p w:rsidR="00A61B6E" w:rsidRDefault="00A61B6E" w:rsidP="00A61B6E">
      <w:pPr>
        <w:pStyle w:val="BodyParagraph"/>
      </w:pPr>
    </w:p>
    <w:p w:rsidR="00A61B6E" w:rsidRDefault="00A61B6E">
      <w:pPr>
        <w:rPr>
          <w:rFonts w:ascii="Verdana" w:hAnsi="Verdana"/>
          <w:sz w:val="18"/>
        </w:rPr>
      </w:pPr>
      <w:r>
        <w:br w:type="page"/>
      </w:r>
    </w:p>
    <w:p w:rsidR="00910EB3" w:rsidRDefault="00910EB3" w:rsidP="00910EB3">
      <w:pPr>
        <w:pStyle w:val="AppendixHeading"/>
      </w:pPr>
      <w:bookmarkStart w:id="225" w:name="_Toc352323674"/>
      <w:r>
        <w:lastRenderedPageBreak/>
        <w:t>Portfolio-adjusted Load Impacts</w:t>
      </w:r>
      <w:bookmarkEnd w:id="225"/>
    </w:p>
    <w:p w:rsidR="00910EB3" w:rsidRDefault="00DA41F5" w:rsidP="00B56CD1">
      <w:pPr>
        <w:pStyle w:val="TableFigureCaption"/>
        <w:spacing w:before="360"/>
        <w:contextualSpacing/>
      </w:pPr>
      <w:r>
        <w:t>Table D</w:t>
      </w:r>
      <w:r w:rsidR="00910EB3">
        <w:t>-1</w:t>
      </w:r>
      <w:r w:rsidR="00E640AA">
        <w:t xml:space="preserve">: </w:t>
      </w:r>
      <w:r w:rsidR="00910EB3">
        <w:t xml:space="preserve">PG&amp;E August Peak Day CPP Portfolio Load Impacts for Large Customers </w:t>
      </w:r>
      <w:r w:rsidR="00910EB3">
        <w:br/>
        <w:t>(Hourly Average Reduction in MW Over Event Day Period</w:t>
      </w:r>
      <w:r w:rsidR="003F58C2">
        <w:t xml:space="preserve"> </w:t>
      </w:r>
      <w:r w:rsidR="00910EB3">
        <w:t>1</w:t>
      </w:r>
      <w:r w:rsidR="00CA470C">
        <w:t>–</w:t>
      </w:r>
      <w:r w:rsidR="00910EB3">
        <w:t>6 PM)</w:t>
      </w:r>
    </w:p>
    <w:tbl>
      <w:tblPr>
        <w:tblW w:w="5000" w:type="pct"/>
        <w:tblLook w:val="04A0" w:firstRow="1" w:lastRow="0" w:firstColumn="1" w:lastColumn="0" w:noHBand="0" w:noVBand="1"/>
      </w:tblPr>
      <w:tblGrid>
        <w:gridCol w:w="1127"/>
        <w:gridCol w:w="1079"/>
        <w:gridCol w:w="1249"/>
        <w:gridCol w:w="1264"/>
        <w:gridCol w:w="1251"/>
        <w:gridCol w:w="1101"/>
        <w:gridCol w:w="1281"/>
        <w:gridCol w:w="1224"/>
      </w:tblGrid>
      <w:tr w:rsidR="00893A3F" w:rsidRPr="00C82C6B" w:rsidTr="00DE74BB">
        <w:trPr>
          <w:trHeight w:val="1200"/>
        </w:trPr>
        <w:tc>
          <w:tcPr>
            <w:tcW w:w="588" w:type="pct"/>
            <w:vMerge w:val="restart"/>
            <w:tcBorders>
              <w:top w:val="single" w:sz="4" w:space="0" w:color="auto"/>
              <w:left w:val="single" w:sz="4" w:space="0" w:color="auto"/>
              <w:bottom w:val="single" w:sz="4" w:space="0" w:color="FFFFFF"/>
              <w:right w:val="single" w:sz="4" w:space="0" w:color="FFFFFF"/>
            </w:tcBorders>
            <w:shd w:val="clear" w:color="auto" w:fill="1F497D" w:themeFill="text2"/>
            <w:vAlign w:val="center"/>
            <w:hideMark/>
          </w:tcPr>
          <w:p w:rsidR="00893A3F" w:rsidRPr="00C82C6B" w:rsidRDefault="00893A3F" w:rsidP="00B56CD1">
            <w:pPr>
              <w:pStyle w:val="TableHeader"/>
            </w:pPr>
            <w:r w:rsidRPr="00C82C6B">
              <w:t>Weather Year</w:t>
            </w:r>
          </w:p>
        </w:tc>
        <w:tc>
          <w:tcPr>
            <w:tcW w:w="563" w:type="pct"/>
            <w:vMerge w:val="restart"/>
            <w:tcBorders>
              <w:top w:val="single" w:sz="4" w:space="0" w:color="auto"/>
              <w:left w:val="single" w:sz="4" w:space="0" w:color="FFFFFF"/>
              <w:bottom w:val="single" w:sz="4" w:space="0" w:color="FFFFFF"/>
              <w:right w:val="single" w:sz="4" w:space="0" w:color="FFFFFF"/>
            </w:tcBorders>
            <w:shd w:val="clear" w:color="auto" w:fill="1F497D" w:themeFill="text2"/>
            <w:vAlign w:val="center"/>
            <w:hideMark/>
          </w:tcPr>
          <w:p w:rsidR="00893A3F" w:rsidRPr="00C82C6B" w:rsidRDefault="00893A3F" w:rsidP="00B56CD1">
            <w:pPr>
              <w:pStyle w:val="TableHeader"/>
            </w:pPr>
            <w:r w:rsidRPr="00C82C6B">
              <w:t>Year</w:t>
            </w:r>
          </w:p>
        </w:tc>
        <w:tc>
          <w:tcPr>
            <w:tcW w:w="652" w:type="pct"/>
            <w:vMerge w:val="restart"/>
            <w:tcBorders>
              <w:top w:val="single" w:sz="4" w:space="0" w:color="auto"/>
              <w:left w:val="single" w:sz="4" w:space="0" w:color="FFFFFF"/>
              <w:bottom w:val="single" w:sz="4" w:space="0" w:color="FFFFFF"/>
              <w:right w:val="single" w:sz="4" w:space="0" w:color="FFFFFF"/>
            </w:tcBorders>
            <w:shd w:val="clear" w:color="auto" w:fill="1F497D" w:themeFill="text2"/>
            <w:vAlign w:val="center"/>
            <w:hideMark/>
          </w:tcPr>
          <w:p w:rsidR="00893A3F" w:rsidRPr="00C82C6B" w:rsidRDefault="00893A3F" w:rsidP="00B56CD1">
            <w:pPr>
              <w:pStyle w:val="TableHeader"/>
            </w:pPr>
            <w:r w:rsidRPr="00C82C6B">
              <w:t>Enrolled Accts. (Forecast)</w:t>
            </w:r>
          </w:p>
        </w:tc>
        <w:tc>
          <w:tcPr>
            <w:tcW w:w="660" w:type="pct"/>
            <w:tcBorders>
              <w:top w:val="single" w:sz="4" w:space="0" w:color="auto"/>
              <w:left w:val="single" w:sz="4" w:space="0" w:color="FFFFFF"/>
              <w:bottom w:val="nil"/>
              <w:right w:val="single" w:sz="4" w:space="0" w:color="FFFFFF"/>
            </w:tcBorders>
            <w:shd w:val="clear" w:color="auto" w:fill="1F497D" w:themeFill="text2"/>
            <w:vAlign w:val="center"/>
            <w:hideMark/>
          </w:tcPr>
          <w:p w:rsidR="00893A3F" w:rsidRPr="00C82C6B" w:rsidRDefault="00893A3F" w:rsidP="00B56CD1">
            <w:pPr>
              <w:pStyle w:val="TableHeader"/>
            </w:pPr>
            <w:r w:rsidRPr="00C82C6B">
              <w:t>Avg. Reference Load</w:t>
            </w:r>
          </w:p>
        </w:tc>
        <w:tc>
          <w:tcPr>
            <w:tcW w:w="653" w:type="pct"/>
            <w:tcBorders>
              <w:top w:val="single" w:sz="4" w:space="0" w:color="auto"/>
              <w:left w:val="nil"/>
              <w:bottom w:val="nil"/>
              <w:right w:val="single" w:sz="4" w:space="0" w:color="FFFFFF"/>
            </w:tcBorders>
            <w:shd w:val="clear" w:color="auto" w:fill="1F497D" w:themeFill="text2"/>
            <w:vAlign w:val="center"/>
            <w:hideMark/>
          </w:tcPr>
          <w:p w:rsidR="00893A3F" w:rsidRPr="00C82C6B" w:rsidRDefault="00893A3F" w:rsidP="00B56CD1">
            <w:pPr>
              <w:pStyle w:val="TableHeader"/>
            </w:pPr>
            <w:r w:rsidRPr="00C82C6B">
              <w:t>Avg. Estimated Load with DR</w:t>
            </w:r>
          </w:p>
        </w:tc>
        <w:tc>
          <w:tcPr>
            <w:tcW w:w="575" w:type="pct"/>
            <w:tcBorders>
              <w:top w:val="single" w:sz="4" w:space="0" w:color="auto"/>
              <w:left w:val="nil"/>
              <w:bottom w:val="nil"/>
              <w:right w:val="single" w:sz="4" w:space="0" w:color="FFFFFF"/>
            </w:tcBorders>
            <w:shd w:val="clear" w:color="auto" w:fill="1F497D" w:themeFill="text2"/>
            <w:vAlign w:val="center"/>
            <w:hideMark/>
          </w:tcPr>
          <w:p w:rsidR="00893A3F" w:rsidRPr="00C82C6B" w:rsidRDefault="00893A3F" w:rsidP="00B56CD1">
            <w:pPr>
              <w:pStyle w:val="TableHeader"/>
            </w:pPr>
            <w:r w:rsidRPr="00C82C6B">
              <w:t>Avg. Load impact</w:t>
            </w:r>
          </w:p>
        </w:tc>
        <w:tc>
          <w:tcPr>
            <w:tcW w:w="669" w:type="pct"/>
            <w:tcBorders>
              <w:top w:val="single" w:sz="4" w:space="0" w:color="auto"/>
              <w:left w:val="nil"/>
              <w:bottom w:val="nil"/>
              <w:right w:val="single" w:sz="4" w:space="0" w:color="FFFFFF"/>
            </w:tcBorders>
            <w:shd w:val="clear" w:color="auto" w:fill="1F497D" w:themeFill="text2"/>
            <w:vAlign w:val="center"/>
            <w:hideMark/>
          </w:tcPr>
          <w:p w:rsidR="00893A3F" w:rsidRPr="00C82C6B" w:rsidRDefault="00893A3F" w:rsidP="00B56CD1">
            <w:pPr>
              <w:pStyle w:val="TableHeader"/>
            </w:pPr>
            <w:r w:rsidRPr="00C82C6B">
              <w:t>% Load Reduction</w:t>
            </w:r>
          </w:p>
        </w:tc>
        <w:tc>
          <w:tcPr>
            <w:tcW w:w="639" w:type="pct"/>
            <w:tcBorders>
              <w:top w:val="single" w:sz="4" w:space="0" w:color="auto"/>
              <w:left w:val="nil"/>
              <w:bottom w:val="single" w:sz="4" w:space="0" w:color="FFFFFF"/>
              <w:right w:val="single" w:sz="4" w:space="0" w:color="auto"/>
            </w:tcBorders>
            <w:shd w:val="clear" w:color="auto" w:fill="1F497D" w:themeFill="text2"/>
            <w:vAlign w:val="center"/>
            <w:hideMark/>
          </w:tcPr>
          <w:p w:rsidR="00893A3F" w:rsidRPr="00C82C6B" w:rsidRDefault="00893A3F" w:rsidP="00B56CD1">
            <w:pPr>
              <w:pStyle w:val="TableHeader"/>
            </w:pPr>
            <w:r w:rsidRPr="00C82C6B">
              <w:t>Weighted Temp.</w:t>
            </w:r>
          </w:p>
        </w:tc>
      </w:tr>
      <w:tr w:rsidR="00893A3F" w:rsidRPr="00C82C6B" w:rsidTr="00DE74BB">
        <w:trPr>
          <w:trHeight w:val="450"/>
        </w:trPr>
        <w:tc>
          <w:tcPr>
            <w:tcW w:w="588" w:type="pct"/>
            <w:vMerge/>
            <w:tcBorders>
              <w:top w:val="single" w:sz="4" w:space="0" w:color="auto"/>
              <w:left w:val="single" w:sz="4" w:space="0" w:color="auto"/>
              <w:bottom w:val="single" w:sz="4" w:space="0" w:color="FFFFFF"/>
              <w:right w:val="single" w:sz="4" w:space="0" w:color="FFFFFF"/>
            </w:tcBorders>
            <w:shd w:val="clear" w:color="auto" w:fill="1F497D" w:themeFill="text2"/>
            <w:vAlign w:val="center"/>
            <w:hideMark/>
          </w:tcPr>
          <w:p w:rsidR="00893A3F" w:rsidRPr="00C82C6B" w:rsidRDefault="00893A3F" w:rsidP="00B56CD1">
            <w:pPr>
              <w:pStyle w:val="TableHeader"/>
            </w:pPr>
          </w:p>
        </w:tc>
        <w:tc>
          <w:tcPr>
            <w:tcW w:w="563" w:type="pct"/>
            <w:vMerge/>
            <w:tcBorders>
              <w:top w:val="single" w:sz="4" w:space="0" w:color="auto"/>
              <w:left w:val="single" w:sz="4" w:space="0" w:color="FFFFFF"/>
              <w:bottom w:val="single" w:sz="4" w:space="0" w:color="FFFFFF"/>
              <w:right w:val="single" w:sz="4" w:space="0" w:color="FFFFFF"/>
            </w:tcBorders>
            <w:shd w:val="clear" w:color="auto" w:fill="1F497D" w:themeFill="text2"/>
            <w:vAlign w:val="center"/>
            <w:hideMark/>
          </w:tcPr>
          <w:p w:rsidR="00893A3F" w:rsidRPr="00C82C6B" w:rsidRDefault="00893A3F" w:rsidP="00B56CD1">
            <w:pPr>
              <w:pStyle w:val="TableHeader"/>
            </w:pPr>
          </w:p>
        </w:tc>
        <w:tc>
          <w:tcPr>
            <w:tcW w:w="652" w:type="pct"/>
            <w:vMerge/>
            <w:tcBorders>
              <w:top w:val="single" w:sz="4" w:space="0" w:color="auto"/>
              <w:left w:val="single" w:sz="4" w:space="0" w:color="FFFFFF"/>
              <w:bottom w:val="single" w:sz="4" w:space="0" w:color="FFFFFF"/>
              <w:right w:val="single" w:sz="4" w:space="0" w:color="FFFFFF"/>
            </w:tcBorders>
            <w:shd w:val="clear" w:color="auto" w:fill="1F497D" w:themeFill="text2"/>
            <w:vAlign w:val="center"/>
            <w:hideMark/>
          </w:tcPr>
          <w:p w:rsidR="00893A3F" w:rsidRPr="00C82C6B" w:rsidRDefault="00893A3F" w:rsidP="00B56CD1">
            <w:pPr>
              <w:pStyle w:val="TableHeader"/>
            </w:pPr>
          </w:p>
        </w:tc>
        <w:tc>
          <w:tcPr>
            <w:tcW w:w="660" w:type="pct"/>
            <w:tcBorders>
              <w:top w:val="single" w:sz="4" w:space="0" w:color="FFFFFF"/>
              <w:left w:val="single" w:sz="4" w:space="0" w:color="FFFFFF"/>
              <w:bottom w:val="single" w:sz="4" w:space="0" w:color="auto"/>
              <w:right w:val="single" w:sz="4" w:space="0" w:color="FFFFFF"/>
            </w:tcBorders>
            <w:shd w:val="clear" w:color="auto" w:fill="1F497D" w:themeFill="text2"/>
            <w:vAlign w:val="center"/>
            <w:hideMark/>
          </w:tcPr>
          <w:p w:rsidR="00893A3F" w:rsidRPr="00C82C6B" w:rsidRDefault="00893A3F" w:rsidP="00DE74BB">
            <w:pPr>
              <w:pStyle w:val="TableHeader"/>
              <w:rPr>
                <w:rFonts w:cs="Arial"/>
                <w:bCs/>
              </w:rPr>
            </w:pPr>
            <w:r w:rsidRPr="00C82C6B">
              <w:rPr>
                <w:rFonts w:cs="Arial"/>
                <w:bCs/>
              </w:rPr>
              <w:t>MW</w:t>
            </w:r>
            <w:r w:rsidR="00DE74BB">
              <w:rPr>
                <w:rFonts w:cs="Arial"/>
                <w:bCs/>
              </w:rPr>
              <w:br/>
            </w:r>
            <w:r w:rsidRPr="00C82C6B">
              <w:rPr>
                <w:rFonts w:cs="Arial"/>
                <w:bCs/>
              </w:rPr>
              <w:t>1</w:t>
            </w:r>
            <w:r w:rsidR="00CA470C">
              <w:rPr>
                <w:rFonts w:cs="Arial"/>
                <w:bCs/>
              </w:rPr>
              <w:t>–</w:t>
            </w:r>
            <w:r w:rsidRPr="00C82C6B">
              <w:rPr>
                <w:rFonts w:cs="Arial"/>
                <w:bCs/>
              </w:rPr>
              <w:t xml:space="preserve">6 </w:t>
            </w:r>
            <w:r w:rsidR="00DE74BB">
              <w:rPr>
                <w:rFonts w:cs="Arial"/>
                <w:bCs/>
              </w:rPr>
              <w:t>PM</w:t>
            </w:r>
          </w:p>
        </w:tc>
        <w:tc>
          <w:tcPr>
            <w:tcW w:w="653" w:type="pct"/>
            <w:tcBorders>
              <w:top w:val="single" w:sz="4" w:space="0" w:color="FFFFFF"/>
              <w:left w:val="nil"/>
              <w:bottom w:val="single" w:sz="4" w:space="0" w:color="auto"/>
              <w:right w:val="single" w:sz="4" w:space="0" w:color="FFFFFF"/>
            </w:tcBorders>
            <w:shd w:val="clear" w:color="auto" w:fill="1F497D" w:themeFill="text2"/>
            <w:vAlign w:val="center"/>
            <w:hideMark/>
          </w:tcPr>
          <w:p w:rsidR="00893A3F" w:rsidRPr="00C82C6B" w:rsidRDefault="00DE74BB" w:rsidP="00DE74BB">
            <w:pPr>
              <w:pStyle w:val="TableHeader"/>
              <w:rPr>
                <w:rFonts w:cs="Arial"/>
                <w:bCs/>
              </w:rPr>
            </w:pPr>
            <w:r>
              <w:rPr>
                <w:rFonts w:cs="Arial"/>
                <w:bCs/>
              </w:rPr>
              <w:t>MW</w:t>
            </w:r>
            <w:r>
              <w:rPr>
                <w:rFonts w:cs="Arial"/>
                <w:bCs/>
              </w:rPr>
              <w:br/>
            </w:r>
            <w:r w:rsidR="00893A3F" w:rsidRPr="00C82C6B">
              <w:rPr>
                <w:rFonts w:cs="Arial"/>
                <w:bCs/>
              </w:rPr>
              <w:t>1</w:t>
            </w:r>
            <w:r w:rsidR="00CA470C">
              <w:rPr>
                <w:rFonts w:cs="Arial"/>
                <w:bCs/>
              </w:rPr>
              <w:t>–</w:t>
            </w:r>
            <w:r w:rsidR="00893A3F" w:rsidRPr="00C82C6B">
              <w:rPr>
                <w:rFonts w:cs="Arial"/>
                <w:bCs/>
              </w:rPr>
              <w:t xml:space="preserve">6 </w:t>
            </w:r>
            <w:r>
              <w:rPr>
                <w:rFonts w:cs="Arial"/>
                <w:bCs/>
              </w:rPr>
              <w:t>PM</w:t>
            </w:r>
          </w:p>
        </w:tc>
        <w:tc>
          <w:tcPr>
            <w:tcW w:w="575" w:type="pct"/>
            <w:tcBorders>
              <w:top w:val="single" w:sz="4" w:space="0" w:color="FFFFFF"/>
              <w:left w:val="nil"/>
              <w:bottom w:val="single" w:sz="4" w:space="0" w:color="auto"/>
              <w:right w:val="nil"/>
            </w:tcBorders>
            <w:shd w:val="clear" w:color="auto" w:fill="1F497D" w:themeFill="text2"/>
            <w:vAlign w:val="center"/>
            <w:hideMark/>
          </w:tcPr>
          <w:p w:rsidR="00893A3F" w:rsidRPr="00C82C6B" w:rsidRDefault="00DE74BB" w:rsidP="00DE74BB">
            <w:pPr>
              <w:pStyle w:val="TableHeader"/>
              <w:rPr>
                <w:rFonts w:cs="Arial"/>
                <w:bCs/>
              </w:rPr>
            </w:pPr>
            <w:r>
              <w:rPr>
                <w:rFonts w:cs="Arial"/>
                <w:bCs/>
              </w:rPr>
              <w:t>MW</w:t>
            </w:r>
            <w:r>
              <w:rPr>
                <w:rFonts w:cs="Arial"/>
                <w:bCs/>
              </w:rPr>
              <w:br/>
            </w:r>
            <w:r w:rsidR="00893A3F" w:rsidRPr="00C82C6B">
              <w:rPr>
                <w:rFonts w:cs="Arial"/>
                <w:bCs/>
              </w:rPr>
              <w:t>1</w:t>
            </w:r>
            <w:r w:rsidR="00CA470C">
              <w:rPr>
                <w:rFonts w:cs="Arial"/>
                <w:bCs/>
              </w:rPr>
              <w:t>–</w:t>
            </w:r>
            <w:r w:rsidR="00893A3F" w:rsidRPr="00C82C6B">
              <w:rPr>
                <w:rFonts w:cs="Arial"/>
                <w:bCs/>
              </w:rPr>
              <w:t xml:space="preserve">6 </w:t>
            </w:r>
            <w:r>
              <w:rPr>
                <w:rFonts w:cs="Arial"/>
                <w:bCs/>
              </w:rPr>
              <w:t>PM</w:t>
            </w:r>
          </w:p>
        </w:tc>
        <w:tc>
          <w:tcPr>
            <w:tcW w:w="669" w:type="pct"/>
            <w:tcBorders>
              <w:top w:val="single" w:sz="4" w:space="0" w:color="FFFFFF"/>
              <w:left w:val="single" w:sz="4" w:space="0" w:color="FFFFFF"/>
              <w:bottom w:val="single" w:sz="4" w:space="0" w:color="auto"/>
              <w:right w:val="single" w:sz="4" w:space="0" w:color="FFFFFF"/>
            </w:tcBorders>
            <w:shd w:val="clear" w:color="auto" w:fill="1F497D" w:themeFill="text2"/>
            <w:vAlign w:val="center"/>
            <w:hideMark/>
          </w:tcPr>
          <w:p w:rsidR="00893A3F" w:rsidRPr="00C82C6B" w:rsidRDefault="00DE74BB" w:rsidP="00DE74BB">
            <w:pPr>
              <w:pStyle w:val="TableHeader"/>
              <w:rPr>
                <w:rFonts w:cs="Arial"/>
                <w:bCs/>
              </w:rPr>
            </w:pPr>
            <w:r>
              <w:rPr>
                <w:rFonts w:cs="Arial"/>
                <w:bCs/>
              </w:rPr>
              <w:t>MW</w:t>
            </w:r>
            <w:r>
              <w:rPr>
                <w:rFonts w:cs="Arial"/>
                <w:bCs/>
              </w:rPr>
              <w:br/>
            </w:r>
            <w:r w:rsidR="00893A3F" w:rsidRPr="00C82C6B">
              <w:rPr>
                <w:rFonts w:cs="Arial"/>
                <w:bCs/>
              </w:rPr>
              <w:t>1</w:t>
            </w:r>
            <w:r w:rsidR="00CA470C">
              <w:rPr>
                <w:rFonts w:cs="Arial"/>
                <w:bCs/>
              </w:rPr>
              <w:t>–</w:t>
            </w:r>
            <w:r w:rsidR="00893A3F" w:rsidRPr="00C82C6B">
              <w:rPr>
                <w:rFonts w:cs="Arial"/>
                <w:bCs/>
              </w:rPr>
              <w:t xml:space="preserve">6 </w:t>
            </w:r>
            <w:r>
              <w:rPr>
                <w:rFonts w:cs="Arial"/>
                <w:bCs/>
              </w:rPr>
              <w:t>PM</w:t>
            </w:r>
          </w:p>
        </w:tc>
        <w:tc>
          <w:tcPr>
            <w:tcW w:w="639" w:type="pct"/>
            <w:tcBorders>
              <w:top w:val="nil"/>
              <w:left w:val="nil"/>
              <w:bottom w:val="single" w:sz="4" w:space="0" w:color="auto"/>
              <w:right w:val="single" w:sz="4" w:space="0" w:color="auto"/>
            </w:tcBorders>
            <w:shd w:val="clear" w:color="auto" w:fill="1F497D" w:themeFill="text2"/>
            <w:vAlign w:val="center"/>
            <w:hideMark/>
          </w:tcPr>
          <w:p w:rsidR="00893A3F" w:rsidRPr="00C82C6B" w:rsidRDefault="00893A3F" w:rsidP="00B56CD1">
            <w:pPr>
              <w:pStyle w:val="TableHeader"/>
            </w:pPr>
            <w:r w:rsidRPr="00C82C6B">
              <w:t>(°F)</w:t>
            </w:r>
          </w:p>
        </w:tc>
      </w:tr>
      <w:tr w:rsidR="00893A3F" w:rsidRPr="00C82C6B" w:rsidTr="00340FC0">
        <w:trPr>
          <w:trHeight w:val="300"/>
        </w:trPr>
        <w:tc>
          <w:tcPr>
            <w:tcW w:w="5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3A3F" w:rsidRPr="00C82C6B" w:rsidRDefault="00893A3F" w:rsidP="00B56CD1">
            <w:pPr>
              <w:pStyle w:val="TableText"/>
            </w:pPr>
            <w:r w:rsidRPr="00C82C6B">
              <w:t>1-in-10 August System Peak Day</w:t>
            </w:r>
          </w:p>
        </w:tc>
        <w:tc>
          <w:tcPr>
            <w:tcW w:w="563" w:type="pct"/>
            <w:tcBorders>
              <w:top w:val="single" w:sz="4" w:space="0" w:color="auto"/>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2012</w:t>
            </w:r>
          </w:p>
        </w:tc>
        <w:tc>
          <w:tcPr>
            <w:tcW w:w="652" w:type="pct"/>
            <w:tcBorders>
              <w:top w:val="single" w:sz="4" w:space="0" w:color="auto"/>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1,273</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413.2</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392.4</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20.8</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5.0%</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94.3</w:t>
            </w:r>
          </w:p>
        </w:tc>
      </w:tr>
      <w:tr w:rsidR="00893A3F" w:rsidRPr="00C82C6B" w:rsidTr="00340FC0">
        <w:trPr>
          <w:trHeight w:val="300"/>
        </w:trPr>
        <w:tc>
          <w:tcPr>
            <w:tcW w:w="588" w:type="pct"/>
            <w:vMerge/>
            <w:tcBorders>
              <w:top w:val="single" w:sz="4" w:space="0" w:color="auto"/>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2013</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1,367</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444.5</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421.7</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22.8</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5.1%</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94.2</w:t>
            </w:r>
          </w:p>
        </w:tc>
      </w:tr>
      <w:tr w:rsidR="00893A3F" w:rsidRPr="00C82C6B" w:rsidTr="00340FC0">
        <w:trPr>
          <w:trHeight w:val="300"/>
        </w:trPr>
        <w:tc>
          <w:tcPr>
            <w:tcW w:w="588" w:type="pct"/>
            <w:vMerge/>
            <w:tcBorders>
              <w:top w:val="single" w:sz="4" w:space="0" w:color="auto"/>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2014</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1,681</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543.3</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514.8</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28.5</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94.6</w:t>
            </w:r>
          </w:p>
        </w:tc>
      </w:tr>
      <w:tr w:rsidR="00893A3F" w:rsidRPr="00C82C6B" w:rsidTr="00340FC0">
        <w:trPr>
          <w:trHeight w:val="300"/>
        </w:trPr>
        <w:tc>
          <w:tcPr>
            <w:tcW w:w="588" w:type="pct"/>
            <w:vMerge/>
            <w:tcBorders>
              <w:top w:val="single" w:sz="4" w:space="0" w:color="auto"/>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2015</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549.2</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520.4</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28.8</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94.6</w:t>
            </w:r>
          </w:p>
        </w:tc>
      </w:tr>
      <w:tr w:rsidR="00893A3F" w:rsidRPr="00C82C6B" w:rsidTr="00340FC0">
        <w:trPr>
          <w:trHeight w:val="300"/>
        </w:trPr>
        <w:tc>
          <w:tcPr>
            <w:tcW w:w="588" w:type="pct"/>
            <w:vMerge/>
            <w:tcBorders>
              <w:top w:val="single" w:sz="4" w:space="0" w:color="auto"/>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2016</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1,700</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549.4</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520.5</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28.8</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94.7</w:t>
            </w:r>
          </w:p>
        </w:tc>
      </w:tr>
      <w:tr w:rsidR="00893A3F" w:rsidRPr="00C82C6B" w:rsidTr="00340FC0">
        <w:trPr>
          <w:trHeight w:val="300"/>
        </w:trPr>
        <w:tc>
          <w:tcPr>
            <w:tcW w:w="588" w:type="pct"/>
            <w:vMerge/>
            <w:tcBorders>
              <w:top w:val="single" w:sz="4" w:space="0" w:color="auto"/>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2017</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549.3</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520.5</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28.8</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94.7</w:t>
            </w:r>
          </w:p>
        </w:tc>
      </w:tr>
      <w:tr w:rsidR="00893A3F" w:rsidRPr="00C82C6B" w:rsidTr="00340FC0">
        <w:trPr>
          <w:trHeight w:val="300"/>
        </w:trPr>
        <w:tc>
          <w:tcPr>
            <w:tcW w:w="588" w:type="pct"/>
            <w:vMerge/>
            <w:tcBorders>
              <w:top w:val="single" w:sz="4" w:space="0" w:color="auto"/>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2018</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549.3</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520.5</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28.8</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94.7</w:t>
            </w:r>
          </w:p>
        </w:tc>
      </w:tr>
      <w:tr w:rsidR="00893A3F" w:rsidRPr="00C82C6B" w:rsidTr="00340FC0">
        <w:trPr>
          <w:trHeight w:val="300"/>
        </w:trPr>
        <w:tc>
          <w:tcPr>
            <w:tcW w:w="588" w:type="pct"/>
            <w:vMerge/>
            <w:tcBorders>
              <w:top w:val="single" w:sz="4" w:space="0" w:color="auto"/>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2019</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549.3</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520.5</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28.8</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94.7</w:t>
            </w:r>
          </w:p>
        </w:tc>
      </w:tr>
      <w:tr w:rsidR="00893A3F" w:rsidRPr="00C82C6B" w:rsidTr="001965D0">
        <w:trPr>
          <w:trHeight w:val="260"/>
        </w:trPr>
        <w:tc>
          <w:tcPr>
            <w:tcW w:w="588" w:type="pct"/>
            <w:vMerge/>
            <w:tcBorders>
              <w:top w:val="single" w:sz="4" w:space="0" w:color="auto"/>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2020</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549.3</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520.5</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28.8</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94.7</w:t>
            </w:r>
          </w:p>
        </w:tc>
      </w:tr>
      <w:tr w:rsidR="00893A3F" w:rsidRPr="00C82C6B" w:rsidTr="00340FC0">
        <w:trPr>
          <w:trHeight w:val="300"/>
        </w:trPr>
        <w:tc>
          <w:tcPr>
            <w:tcW w:w="588" w:type="pct"/>
            <w:vMerge/>
            <w:tcBorders>
              <w:top w:val="single" w:sz="4" w:space="0" w:color="auto"/>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2021</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549.3</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520.5</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28.8</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94.7</w:t>
            </w:r>
          </w:p>
        </w:tc>
      </w:tr>
      <w:tr w:rsidR="00893A3F" w:rsidRPr="00C82C6B" w:rsidTr="00340FC0">
        <w:trPr>
          <w:trHeight w:val="300"/>
        </w:trPr>
        <w:tc>
          <w:tcPr>
            <w:tcW w:w="588" w:type="pct"/>
            <w:vMerge/>
            <w:tcBorders>
              <w:top w:val="single" w:sz="4" w:space="0" w:color="auto"/>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2022</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549.3</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520.5</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28.8</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94.7</w:t>
            </w:r>
          </w:p>
        </w:tc>
      </w:tr>
      <w:tr w:rsidR="00893A3F" w:rsidRPr="00C82C6B" w:rsidTr="00340FC0">
        <w:trPr>
          <w:trHeight w:val="300"/>
        </w:trPr>
        <w:tc>
          <w:tcPr>
            <w:tcW w:w="588" w:type="pct"/>
            <w:vMerge/>
            <w:tcBorders>
              <w:top w:val="single" w:sz="4" w:space="0" w:color="auto"/>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2023</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549.3</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520.5</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28.8</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94.7</w:t>
            </w:r>
          </w:p>
        </w:tc>
      </w:tr>
      <w:tr w:rsidR="00893A3F" w:rsidRPr="00C82C6B" w:rsidTr="00340FC0">
        <w:trPr>
          <w:trHeight w:val="300"/>
        </w:trPr>
        <w:tc>
          <w:tcPr>
            <w:tcW w:w="588" w:type="pct"/>
            <w:vMerge w:val="restart"/>
            <w:tcBorders>
              <w:top w:val="nil"/>
              <w:left w:val="single" w:sz="4" w:space="0" w:color="auto"/>
              <w:bottom w:val="single" w:sz="4" w:space="0" w:color="auto"/>
              <w:right w:val="single" w:sz="4" w:space="0" w:color="auto"/>
            </w:tcBorders>
            <w:shd w:val="clear" w:color="auto" w:fill="auto"/>
            <w:vAlign w:val="center"/>
            <w:hideMark/>
          </w:tcPr>
          <w:p w:rsidR="00893A3F" w:rsidRPr="00C82C6B" w:rsidRDefault="00893A3F" w:rsidP="00B56CD1">
            <w:pPr>
              <w:pStyle w:val="TableText"/>
            </w:pPr>
            <w:r w:rsidRPr="00C82C6B">
              <w:t>1-in-2 August System Peak Day</w:t>
            </w: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2012</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1,273</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424.9</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403.2</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21.7</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5.1%</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93.3</w:t>
            </w:r>
          </w:p>
        </w:tc>
      </w:tr>
      <w:tr w:rsidR="00893A3F" w:rsidRPr="00C82C6B" w:rsidTr="00340FC0">
        <w:trPr>
          <w:trHeight w:val="300"/>
        </w:trPr>
        <w:tc>
          <w:tcPr>
            <w:tcW w:w="588" w:type="pct"/>
            <w:vMerge/>
            <w:tcBorders>
              <w:top w:val="nil"/>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2013</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1,367</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457.0</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433.5</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23.4</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5.1%</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93.3</w:t>
            </w:r>
          </w:p>
        </w:tc>
      </w:tr>
      <w:tr w:rsidR="00893A3F" w:rsidRPr="00C82C6B" w:rsidTr="00340FC0">
        <w:trPr>
          <w:trHeight w:val="300"/>
        </w:trPr>
        <w:tc>
          <w:tcPr>
            <w:tcW w:w="588" w:type="pct"/>
            <w:vMerge/>
            <w:tcBorders>
              <w:top w:val="nil"/>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2014</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1,681</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558.3</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528.9</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29.4</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93.4</w:t>
            </w:r>
          </w:p>
        </w:tc>
      </w:tr>
      <w:tr w:rsidR="00893A3F" w:rsidRPr="00C82C6B" w:rsidTr="00340FC0">
        <w:trPr>
          <w:trHeight w:val="300"/>
        </w:trPr>
        <w:tc>
          <w:tcPr>
            <w:tcW w:w="588" w:type="pct"/>
            <w:vMerge/>
            <w:tcBorders>
              <w:top w:val="nil"/>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2015</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564.4</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534.6</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29.7</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93.4</w:t>
            </w:r>
          </w:p>
        </w:tc>
      </w:tr>
      <w:tr w:rsidR="00893A3F" w:rsidRPr="00C82C6B" w:rsidTr="00340FC0">
        <w:trPr>
          <w:trHeight w:val="300"/>
        </w:trPr>
        <w:tc>
          <w:tcPr>
            <w:tcW w:w="588" w:type="pct"/>
            <w:vMerge/>
            <w:tcBorders>
              <w:top w:val="nil"/>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2016</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1,700</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564.5</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534.8</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29.7</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93.4</w:t>
            </w:r>
          </w:p>
        </w:tc>
      </w:tr>
      <w:tr w:rsidR="00893A3F" w:rsidRPr="00C82C6B" w:rsidTr="00340FC0">
        <w:trPr>
          <w:trHeight w:val="300"/>
        </w:trPr>
        <w:tc>
          <w:tcPr>
            <w:tcW w:w="588" w:type="pct"/>
            <w:vMerge/>
            <w:tcBorders>
              <w:top w:val="nil"/>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2017</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564.5</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534.8</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29.7</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93.4</w:t>
            </w:r>
          </w:p>
        </w:tc>
      </w:tr>
      <w:tr w:rsidR="00893A3F" w:rsidRPr="00C82C6B" w:rsidTr="00340FC0">
        <w:trPr>
          <w:trHeight w:val="300"/>
        </w:trPr>
        <w:tc>
          <w:tcPr>
            <w:tcW w:w="588" w:type="pct"/>
            <w:vMerge/>
            <w:tcBorders>
              <w:top w:val="nil"/>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2018</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564.5</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534.8</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29.7</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93.4</w:t>
            </w:r>
          </w:p>
        </w:tc>
      </w:tr>
      <w:tr w:rsidR="00893A3F" w:rsidRPr="00C82C6B" w:rsidTr="00340FC0">
        <w:trPr>
          <w:trHeight w:val="300"/>
        </w:trPr>
        <w:tc>
          <w:tcPr>
            <w:tcW w:w="588" w:type="pct"/>
            <w:vMerge/>
            <w:tcBorders>
              <w:top w:val="nil"/>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2019</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564.5</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534.7</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29.7</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93.4</w:t>
            </w:r>
          </w:p>
        </w:tc>
      </w:tr>
      <w:tr w:rsidR="00893A3F" w:rsidRPr="00C82C6B" w:rsidTr="00340FC0">
        <w:trPr>
          <w:trHeight w:val="300"/>
        </w:trPr>
        <w:tc>
          <w:tcPr>
            <w:tcW w:w="588" w:type="pct"/>
            <w:vMerge/>
            <w:tcBorders>
              <w:top w:val="nil"/>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2020</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564.4</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534.7</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29.7</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93.4</w:t>
            </w:r>
          </w:p>
        </w:tc>
      </w:tr>
      <w:tr w:rsidR="00893A3F" w:rsidRPr="00C82C6B" w:rsidTr="00340FC0">
        <w:trPr>
          <w:trHeight w:val="300"/>
        </w:trPr>
        <w:tc>
          <w:tcPr>
            <w:tcW w:w="588" w:type="pct"/>
            <w:vMerge/>
            <w:tcBorders>
              <w:top w:val="nil"/>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2021</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564.4</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534.7</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29.7</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93.4</w:t>
            </w:r>
          </w:p>
        </w:tc>
      </w:tr>
      <w:tr w:rsidR="00893A3F" w:rsidRPr="00C82C6B" w:rsidTr="00340FC0">
        <w:trPr>
          <w:trHeight w:val="300"/>
        </w:trPr>
        <w:tc>
          <w:tcPr>
            <w:tcW w:w="588" w:type="pct"/>
            <w:vMerge/>
            <w:tcBorders>
              <w:top w:val="nil"/>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2022</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564.4</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534.7</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29.7</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93.4</w:t>
            </w:r>
          </w:p>
        </w:tc>
      </w:tr>
      <w:tr w:rsidR="00893A3F" w:rsidRPr="00C82C6B" w:rsidTr="00340FC0">
        <w:trPr>
          <w:trHeight w:val="300"/>
        </w:trPr>
        <w:tc>
          <w:tcPr>
            <w:tcW w:w="588" w:type="pct"/>
            <w:vMerge/>
            <w:tcBorders>
              <w:top w:val="nil"/>
              <w:left w:val="single" w:sz="4" w:space="0" w:color="auto"/>
              <w:bottom w:val="single" w:sz="4" w:space="0" w:color="auto"/>
              <w:right w:val="single" w:sz="4" w:space="0" w:color="auto"/>
            </w:tcBorders>
            <w:vAlign w:val="center"/>
            <w:hideMark/>
          </w:tcPr>
          <w:p w:rsidR="00893A3F" w:rsidRPr="00C82C6B" w:rsidRDefault="00893A3F" w:rsidP="00B56CD1">
            <w:pPr>
              <w:pStyle w:val="TableText"/>
            </w:pPr>
          </w:p>
        </w:tc>
        <w:tc>
          <w:tcPr>
            <w:tcW w:w="56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2023</w:t>
            </w:r>
          </w:p>
        </w:tc>
        <w:tc>
          <w:tcPr>
            <w:tcW w:w="652"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1,699</w:t>
            </w:r>
          </w:p>
        </w:tc>
        <w:tc>
          <w:tcPr>
            <w:tcW w:w="660"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564.4</w:t>
            </w:r>
          </w:p>
        </w:tc>
        <w:tc>
          <w:tcPr>
            <w:tcW w:w="653"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534.7</w:t>
            </w:r>
          </w:p>
        </w:tc>
        <w:tc>
          <w:tcPr>
            <w:tcW w:w="575"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29.7</w:t>
            </w:r>
          </w:p>
        </w:tc>
        <w:tc>
          <w:tcPr>
            <w:tcW w:w="66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5.3%</w:t>
            </w:r>
          </w:p>
        </w:tc>
        <w:tc>
          <w:tcPr>
            <w:tcW w:w="639" w:type="pct"/>
            <w:tcBorders>
              <w:top w:val="nil"/>
              <w:left w:val="nil"/>
              <w:bottom w:val="single" w:sz="4" w:space="0" w:color="auto"/>
              <w:right w:val="single" w:sz="4" w:space="0" w:color="auto"/>
            </w:tcBorders>
            <w:shd w:val="clear" w:color="auto" w:fill="auto"/>
            <w:noWrap/>
            <w:vAlign w:val="center"/>
            <w:hideMark/>
          </w:tcPr>
          <w:p w:rsidR="00893A3F" w:rsidRPr="00C82C6B" w:rsidRDefault="00893A3F" w:rsidP="00B56CD1">
            <w:pPr>
              <w:pStyle w:val="TableText"/>
            </w:pPr>
            <w:r w:rsidRPr="00C82C6B">
              <w:t>93.4</w:t>
            </w:r>
          </w:p>
        </w:tc>
      </w:tr>
    </w:tbl>
    <w:p w:rsidR="001965D0" w:rsidRDefault="001965D0" w:rsidP="001965D0">
      <w:pPr>
        <w:pStyle w:val="TableFigureCaption"/>
        <w:spacing w:before="360"/>
      </w:pPr>
    </w:p>
    <w:p w:rsidR="001965D0" w:rsidRDefault="001965D0" w:rsidP="001965D0">
      <w:pPr>
        <w:pStyle w:val="BodyParaAfterTableFigure"/>
        <w:rPr>
          <w:rFonts w:ascii="Arial" w:hAnsi="Arial"/>
          <w:sz w:val="20"/>
        </w:rPr>
      </w:pPr>
      <w:r>
        <w:br w:type="page"/>
      </w:r>
    </w:p>
    <w:p w:rsidR="00910EB3" w:rsidRDefault="00DA41F5" w:rsidP="001965D0">
      <w:pPr>
        <w:pStyle w:val="TableFigureCaption"/>
        <w:spacing w:before="360"/>
      </w:pPr>
      <w:r>
        <w:lastRenderedPageBreak/>
        <w:t>Table D</w:t>
      </w:r>
      <w:r w:rsidR="00910EB3">
        <w:t>-2:</w:t>
      </w:r>
      <w:r w:rsidR="00E640AA">
        <w:t xml:space="preserve"> </w:t>
      </w:r>
      <w:r w:rsidR="00910EB3">
        <w:t xml:space="preserve">PG&amp;E August Peak Day CPP Portfolio Load Impacts for Medium Customers </w:t>
      </w:r>
      <w:r w:rsidR="00910EB3">
        <w:br/>
        <w:t>(Hourly Average Reduction in MW Over Event Day Period 1</w:t>
      </w:r>
      <w:r w:rsidR="00CA470C">
        <w:t>–</w:t>
      </w:r>
      <w:r w:rsidR="00910EB3">
        <w:t>6 PM)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720"/>
        <w:gridCol w:w="1260"/>
        <w:gridCol w:w="1448"/>
        <w:gridCol w:w="1286"/>
        <w:gridCol w:w="1286"/>
        <w:gridCol w:w="1286"/>
        <w:gridCol w:w="1282"/>
      </w:tblGrid>
      <w:tr w:rsidR="00C82C6B" w:rsidRPr="00C82C6B" w:rsidTr="00DE74BB">
        <w:trPr>
          <w:trHeight w:val="494"/>
        </w:trPr>
        <w:tc>
          <w:tcPr>
            <w:tcW w:w="1008" w:type="dxa"/>
            <w:vMerge w:val="restart"/>
            <w:tcBorders>
              <w:right w:val="single" w:sz="4" w:space="0" w:color="FFFFFF" w:themeColor="background1"/>
            </w:tcBorders>
            <w:shd w:val="clear" w:color="auto" w:fill="1F497D" w:themeFill="text2"/>
            <w:vAlign w:val="center"/>
            <w:hideMark/>
          </w:tcPr>
          <w:p w:rsidR="00C82C6B" w:rsidRPr="00C82C6B" w:rsidRDefault="00C82C6B" w:rsidP="00B56CD1">
            <w:pPr>
              <w:pStyle w:val="TableHeader"/>
            </w:pPr>
            <w:r w:rsidRPr="00C82C6B">
              <w:t>Weather Year</w:t>
            </w:r>
          </w:p>
        </w:tc>
        <w:tc>
          <w:tcPr>
            <w:tcW w:w="720" w:type="dxa"/>
            <w:vMerge w:val="restart"/>
            <w:tcBorders>
              <w:left w:val="single" w:sz="4" w:space="0" w:color="FFFFFF" w:themeColor="background1"/>
              <w:right w:val="single" w:sz="4" w:space="0" w:color="FFFFFF" w:themeColor="background1"/>
            </w:tcBorders>
            <w:shd w:val="clear" w:color="auto" w:fill="1F497D" w:themeFill="text2"/>
            <w:vAlign w:val="center"/>
            <w:hideMark/>
          </w:tcPr>
          <w:p w:rsidR="00C82C6B" w:rsidRPr="00C82C6B" w:rsidRDefault="00C82C6B" w:rsidP="00B56CD1">
            <w:pPr>
              <w:pStyle w:val="TableHeader"/>
            </w:pPr>
            <w:r w:rsidRPr="00C82C6B">
              <w:t>Year</w:t>
            </w:r>
          </w:p>
        </w:tc>
        <w:tc>
          <w:tcPr>
            <w:tcW w:w="1260" w:type="dxa"/>
            <w:vMerge w:val="restart"/>
            <w:tcBorders>
              <w:left w:val="single" w:sz="4" w:space="0" w:color="FFFFFF" w:themeColor="background1"/>
              <w:right w:val="single" w:sz="4" w:space="0" w:color="FFFFFF" w:themeColor="background1"/>
            </w:tcBorders>
            <w:shd w:val="clear" w:color="auto" w:fill="1F497D" w:themeFill="text2"/>
            <w:vAlign w:val="center"/>
            <w:hideMark/>
          </w:tcPr>
          <w:p w:rsidR="00C82C6B" w:rsidRPr="00C82C6B" w:rsidRDefault="00C82C6B" w:rsidP="00B56CD1">
            <w:pPr>
              <w:pStyle w:val="TableHeader"/>
            </w:pPr>
            <w:r w:rsidRPr="00C82C6B">
              <w:t>Enrolled Accts (Forecast)</w:t>
            </w:r>
          </w:p>
        </w:tc>
        <w:tc>
          <w:tcPr>
            <w:tcW w:w="1448" w:type="dxa"/>
            <w:tcBorders>
              <w:left w:val="single" w:sz="4" w:space="0" w:color="FFFFFF" w:themeColor="background1"/>
              <w:bottom w:val="single" w:sz="4" w:space="0" w:color="FFFFFF" w:themeColor="background1"/>
              <w:right w:val="single" w:sz="4" w:space="0" w:color="FFFFFF" w:themeColor="background1"/>
            </w:tcBorders>
            <w:shd w:val="clear" w:color="auto" w:fill="1F497D" w:themeFill="text2"/>
            <w:vAlign w:val="center"/>
            <w:hideMark/>
          </w:tcPr>
          <w:p w:rsidR="00C82C6B" w:rsidRPr="00C82C6B" w:rsidRDefault="00C82C6B" w:rsidP="00B56CD1">
            <w:pPr>
              <w:pStyle w:val="TableHeader"/>
            </w:pPr>
            <w:r w:rsidRPr="00C82C6B">
              <w:t>Avg. Reference Load</w:t>
            </w:r>
          </w:p>
        </w:tc>
        <w:tc>
          <w:tcPr>
            <w:tcW w:w="1286" w:type="dxa"/>
            <w:tcBorders>
              <w:left w:val="single" w:sz="4" w:space="0" w:color="FFFFFF" w:themeColor="background1"/>
              <w:bottom w:val="single" w:sz="4" w:space="0" w:color="FFFFFF" w:themeColor="background1"/>
              <w:right w:val="single" w:sz="4" w:space="0" w:color="FFFFFF" w:themeColor="background1"/>
            </w:tcBorders>
            <w:shd w:val="clear" w:color="auto" w:fill="1F497D" w:themeFill="text2"/>
            <w:vAlign w:val="center"/>
            <w:hideMark/>
          </w:tcPr>
          <w:p w:rsidR="00C82C6B" w:rsidRPr="00C82C6B" w:rsidRDefault="00C82C6B" w:rsidP="00B56CD1">
            <w:pPr>
              <w:pStyle w:val="TableHeader"/>
            </w:pPr>
            <w:r w:rsidRPr="00C82C6B">
              <w:t>Avg. Estimated Load w DR</w:t>
            </w:r>
          </w:p>
        </w:tc>
        <w:tc>
          <w:tcPr>
            <w:tcW w:w="1286" w:type="dxa"/>
            <w:tcBorders>
              <w:left w:val="single" w:sz="4" w:space="0" w:color="FFFFFF" w:themeColor="background1"/>
              <w:bottom w:val="single" w:sz="4" w:space="0" w:color="FFFFFF" w:themeColor="background1"/>
              <w:right w:val="single" w:sz="4" w:space="0" w:color="FFFFFF" w:themeColor="background1"/>
            </w:tcBorders>
            <w:shd w:val="clear" w:color="auto" w:fill="1F497D" w:themeFill="text2"/>
            <w:vAlign w:val="center"/>
            <w:hideMark/>
          </w:tcPr>
          <w:p w:rsidR="00C82C6B" w:rsidRPr="00C82C6B" w:rsidRDefault="00C82C6B" w:rsidP="00B56CD1">
            <w:pPr>
              <w:pStyle w:val="TableHeader"/>
            </w:pPr>
            <w:r w:rsidRPr="00C82C6B">
              <w:t>Avg. Load impact</w:t>
            </w:r>
          </w:p>
        </w:tc>
        <w:tc>
          <w:tcPr>
            <w:tcW w:w="1286" w:type="dxa"/>
            <w:tcBorders>
              <w:left w:val="single" w:sz="4" w:space="0" w:color="FFFFFF" w:themeColor="background1"/>
              <w:bottom w:val="single" w:sz="4" w:space="0" w:color="FFFFFF" w:themeColor="background1"/>
              <w:right w:val="single" w:sz="4" w:space="0" w:color="FFFFFF" w:themeColor="background1"/>
            </w:tcBorders>
            <w:shd w:val="clear" w:color="auto" w:fill="1F497D" w:themeFill="text2"/>
            <w:vAlign w:val="center"/>
            <w:hideMark/>
          </w:tcPr>
          <w:p w:rsidR="00C82C6B" w:rsidRPr="00C82C6B" w:rsidRDefault="00C82C6B" w:rsidP="00B56CD1">
            <w:pPr>
              <w:pStyle w:val="TableHeader"/>
            </w:pPr>
            <w:r w:rsidRPr="00C82C6B">
              <w:t>% Load Reduction</w:t>
            </w:r>
          </w:p>
        </w:tc>
        <w:tc>
          <w:tcPr>
            <w:tcW w:w="1282" w:type="dxa"/>
            <w:tcBorders>
              <w:left w:val="single" w:sz="4" w:space="0" w:color="FFFFFF" w:themeColor="background1"/>
              <w:bottom w:val="single" w:sz="4" w:space="0" w:color="FFFFFF" w:themeColor="background1"/>
            </w:tcBorders>
            <w:shd w:val="clear" w:color="auto" w:fill="1F497D" w:themeFill="text2"/>
            <w:vAlign w:val="center"/>
            <w:hideMark/>
          </w:tcPr>
          <w:p w:rsidR="00C82C6B" w:rsidRPr="00C82C6B" w:rsidRDefault="00C82C6B" w:rsidP="00B56CD1">
            <w:pPr>
              <w:pStyle w:val="TableHeader"/>
            </w:pPr>
            <w:r w:rsidRPr="00C82C6B">
              <w:t>Weighted Temp</w:t>
            </w:r>
          </w:p>
        </w:tc>
      </w:tr>
      <w:tr w:rsidR="00C82C6B" w:rsidRPr="00C82C6B" w:rsidTr="00DE74BB">
        <w:trPr>
          <w:trHeight w:val="450"/>
        </w:trPr>
        <w:tc>
          <w:tcPr>
            <w:tcW w:w="1008" w:type="dxa"/>
            <w:vMerge/>
            <w:tcBorders>
              <w:right w:val="single" w:sz="4" w:space="0" w:color="FFFFFF" w:themeColor="background1"/>
            </w:tcBorders>
            <w:shd w:val="clear" w:color="auto" w:fill="1F497D" w:themeFill="text2"/>
            <w:vAlign w:val="center"/>
            <w:hideMark/>
          </w:tcPr>
          <w:p w:rsidR="00C82C6B" w:rsidRPr="00C82C6B" w:rsidRDefault="00C82C6B" w:rsidP="00B56CD1">
            <w:pPr>
              <w:pStyle w:val="TableHeader"/>
            </w:pPr>
          </w:p>
        </w:tc>
        <w:tc>
          <w:tcPr>
            <w:tcW w:w="720" w:type="dxa"/>
            <w:vMerge/>
            <w:tcBorders>
              <w:left w:val="single" w:sz="4" w:space="0" w:color="FFFFFF" w:themeColor="background1"/>
              <w:right w:val="single" w:sz="4" w:space="0" w:color="FFFFFF" w:themeColor="background1"/>
            </w:tcBorders>
            <w:shd w:val="clear" w:color="auto" w:fill="1F497D" w:themeFill="text2"/>
            <w:vAlign w:val="center"/>
            <w:hideMark/>
          </w:tcPr>
          <w:p w:rsidR="00C82C6B" w:rsidRPr="00C82C6B" w:rsidRDefault="00C82C6B" w:rsidP="00B56CD1">
            <w:pPr>
              <w:pStyle w:val="TableHeader"/>
            </w:pPr>
          </w:p>
        </w:tc>
        <w:tc>
          <w:tcPr>
            <w:tcW w:w="1260" w:type="dxa"/>
            <w:vMerge/>
            <w:tcBorders>
              <w:left w:val="single" w:sz="4" w:space="0" w:color="FFFFFF" w:themeColor="background1"/>
              <w:right w:val="single" w:sz="4" w:space="0" w:color="FFFFFF" w:themeColor="background1"/>
            </w:tcBorders>
            <w:shd w:val="clear" w:color="auto" w:fill="1F497D" w:themeFill="text2"/>
            <w:vAlign w:val="center"/>
            <w:hideMark/>
          </w:tcPr>
          <w:p w:rsidR="00C82C6B" w:rsidRPr="00C82C6B" w:rsidRDefault="00C82C6B" w:rsidP="00B56CD1">
            <w:pPr>
              <w:pStyle w:val="TableHeader"/>
            </w:pPr>
          </w:p>
        </w:tc>
        <w:tc>
          <w:tcPr>
            <w:tcW w:w="1448" w:type="dxa"/>
            <w:tcBorders>
              <w:top w:val="single" w:sz="4" w:space="0" w:color="FFFFFF" w:themeColor="background1"/>
              <w:left w:val="single" w:sz="4" w:space="0" w:color="FFFFFF" w:themeColor="background1"/>
              <w:right w:val="single" w:sz="4" w:space="0" w:color="FFFFFF" w:themeColor="background1"/>
            </w:tcBorders>
            <w:shd w:val="clear" w:color="auto" w:fill="1F497D" w:themeFill="text2"/>
            <w:vAlign w:val="center"/>
            <w:hideMark/>
          </w:tcPr>
          <w:p w:rsidR="00C82C6B" w:rsidRPr="00C82C6B" w:rsidRDefault="00DE74BB" w:rsidP="00DE74BB">
            <w:pPr>
              <w:pStyle w:val="TableHeader"/>
              <w:rPr>
                <w:rFonts w:cs="Arial"/>
              </w:rPr>
            </w:pPr>
            <w:r>
              <w:rPr>
                <w:rFonts w:cs="Arial"/>
              </w:rPr>
              <w:t>MW</w:t>
            </w:r>
            <w:r>
              <w:rPr>
                <w:rFonts w:cs="Arial"/>
              </w:rPr>
              <w:br/>
            </w:r>
            <w:r w:rsidR="00C82C6B" w:rsidRPr="00C82C6B">
              <w:rPr>
                <w:rFonts w:cs="Arial"/>
              </w:rPr>
              <w:t>1</w:t>
            </w:r>
            <w:r w:rsidR="00CA470C">
              <w:rPr>
                <w:rFonts w:cs="Arial"/>
              </w:rPr>
              <w:t>–</w:t>
            </w:r>
            <w:r w:rsidR="00C82C6B" w:rsidRPr="00C82C6B">
              <w:rPr>
                <w:rFonts w:cs="Arial"/>
              </w:rPr>
              <w:t xml:space="preserve">6 </w:t>
            </w:r>
            <w:r>
              <w:rPr>
                <w:rFonts w:cs="Arial"/>
              </w:rPr>
              <w:t>PM</w:t>
            </w:r>
          </w:p>
        </w:tc>
        <w:tc>
          <w:tcPr>
            <w:tcW w:w="1286" w:type="dxa"/>
            <w:tcBorders>
              <w:top w:val="single" w:sz="4" w:space="0" w:color="FFFFFF" w:themeColor="background1"/>
              <w:left w:val="single" w:sz="4" w:space="0" w:color="FFFFFF" w:themeColor="background1"/>
              <w:right w:val="single" w:sz="4" w:space="0" w:color="FFFFFF" w:themeColor="background1"/>
            </w:tcBorders>
            <w:shd w:val="clear" w:color="auto" w:fill="1F497D" w:themeFill="text2"/>
            <w:vAlign w:val="center"/>
            <w:hideMark/>
          </w:tcPr>
          <w:p w:rsidR="00C82C6B" w:rsidRPr="00C82C6B" w:rsidRDefault="00C82C6B" w:rsidP="00DE74BB">
            <w:pPr>
              <w:pStyle w:val="TableHeader"/>
              <w:rPr>
                <w:rFonts w:cs="Arial"/>
              </w:rPr>
            </w:pPr>
            <w:r w:rsidRPr="00C82C6B">
              <w:rPr>
                <w:rFonts w:cs="Arial"/>
              </w:rPr>
              <w:t>MW</w:t>
            </w:r>
            <w:r w:rsidR="00DE74BB">
              <w:rPr>
                <w:rFonts w:cs="Arial"/>
              </w:rPr>
              <w:br/>
            </w:r>
            <w:r w:rsidRPr="00C82C6B">
              <w:rPr>
                <w:rFonts w:cs="Arial"/>
              </w:rPr>
              <w:t>1</w:t>
            </w:r>
            <w:r w:rsidR="00CA470C">
              <w:rPr>
                <w:rFonts w:cs="Arial"/>
              </w:rPr>
              <w:t>–</w:t>
            </w:r>
            <w:r w:rsidRPr="00C82C6B">
              <w:rPr>
                <w:rFonts w:cs="Arial"/>
              </w:rPr>
              <w:t xml:space="preserve">6 </w:t>
            </w:r>
            <w:r w:rsidR="00DE74BB">
              <w:rPr>
                <w:rFonts w:cs="Arial"/>
              </w:rPr>
              <w:t>PM</w:t>
            </w:r>
          </w:p>
        </w:tc>
        <w:tc>
          <w:tcPr>
            <w:tcW w:w="1286" w:type="dxa"/>
            <w:tcBorders>
              <w:top w:val="single" w:sz="4" w:space="0" w:color="FFFFFF" w:themeColor="background1"/>
              <w:left w:val="single" w:sz="4" w:space="0" w:color="FFFFFF" w:themeColor="background1"/>
              <w:right w:val="single" w:sz="4" w:space="0" w:color="FFFFFF" w:themeColor="background1"/>
            </w:tcBorders>
            <w:shd w:val="clear" w:color="auto" w:fill="1F497D" w:themeFill="text2"/>
            <w:vAlign w:val="center"/>
            <w:hideMark/>
          </w:tcPr>
          <w:p w:rsidR="00C82C6B" w:rsidRPr="00C82C6B" w:rsidRDefault="00DE74BB" w:rsidP="00DE74BB">
            <w:pPr>
              <w:pStyle w:val="TableHeader"/>
              <w:rPr>
                <w:rFonts w:cs="Arial"/>
              </w:rPr>
            </w:pPr>
            <w:r>
              <w:rPr>
                <w:rFonts w:cs="Arial"/>
              </w:rPr>
              <w:t>MW</w:t>
            </w:r>
            <w:r>
              <w:rPr>
                <w:rFonts w:cs="Arial"/>
              </w:rPr>
              <w:br/>
            </w:r>
            <w:r w:rsidR="00C82C6B" w:rsidRPr="00C82C6B">
              <w:rPr>
                <w:rFonts w:cs="Arial"/>
              </w:rPr>
              <w:t>1</w:t>
            </w:r>
            <w:r w:rsidR="00CA470C">
              <w:rPr>
                <w:rFonts w:cs="Arial"/>
              </w:rPr>
              <w:t>–</w:t>
            </w:r>
            <w:r w:rsidR="00C82C6B" w:rsidRPr="00C82C6B">
              <w:rPr>
                <w:rFonts w:cs="Arial"/>
              </w:rPr>
              <w:t>6 pm</w:t>
            </w:r>
          </w:p>
        </w:tc>
        <w:tc>
          <w:tcPr>
            <w:tcW w:w="1286" w:type="dxa"/>
            <w:tcBorders>
              <w:top w:val="single" w:sz="4" w:space="0" w:color="FFFFFF" w:themeColor="background1"/>
              <w:left w:val="single" w:sz="4" w:space="0" w:color="FFFFFF" w:themeColor="background1"/>
              <w:right w:val="single" w:sz="4" w:space="0" w:color="FFFFFF" w:themeColor="background1"/>
            </w:tcBorders>
            <w:shd w:val="clear" w:color="auto" w:fill="1F497D" w:themeFill="text2"/>
            <w:vAlign w:val="center"/>
            <w:hideMark/>
          </w:tcPr>
          <w:p w:rsidR="00C82C6B" w:rsidRPr="00C82C6B" w:rsidRDefault="00DE74BB" w:rsidP="00DE74BB">
            <w:pPr>
              <w:pStyle w:val="TableHeader"/>
              <w:rPr>
                <w:rFonts w:cs="Arial"/>
              </w:rPr>
            </w:pPr>
            <w:r>
              <w:rPr>
                <w:rFonts w:cs="Arial"/>
              </w:rPr>
              <w:t>MW</w:t>
            </w:r>
            <w:r>
              <w:rPr>
                <w:rFonts w:cs="Arial"/>
              </w:rPr>
              <w:br/>
            </w:r>
            <w:r w:rsidR="00C82C6B" w:rsidRPr="00C82C6B">
              <w:rPr>
                <w:rFonts w:cs="Arial"/>
              </w:rPr>
              <w:t>1</w:t>
            </w:r>
            <w:r w:rsidR="00CA470C">
              <w:rPr>
                <w:rFonts w:cs="Arial"/>
              </w:rPr>
              <w:t>–</w:t>
            </w:r>
            <w:r w:rsidR="00C82C6B" w:rsidRPr="00C82C6B">
              <w:rPr>
                <w:rFonts w:cs="Arial"/>
              </w:rPr>
              <w:t>6 pm</w:t>
            </w:r>
          </w:p>
        </w:tc>
        <w:tc>
          <w:tcPr>
            <w:tcW w:w="1282" w:type="dxa"/>
            <w:tcBorders>
              <w:top w:val="single" w:sz="4" w:space="0" w:color="FFFFFF" w:themeColor="background1"/>
              <w:left w:val="single" w:sz="4" w:space="0" w:color="FFFFFF" w:themeColor="background1"/>
            </w:tcBorders>
            <w:shd w:val="clear" w:color="auto" w:fill="1F497D" w:themeFill="text2"/>
            <w:vAlign w:val="center"/>
            <w:hideMark/>
          </w:tcPr>
          <w:p w:rsidR="00C82C6B" w:rsidRPr="00C82C6B" w:rsidRDefault="00C82C6B" w:rsidP="00B56CD1">
            <w:pPr>
              <w:pStyle w:val="TableHeader"/>
            </w:pPr>
            <w:r w:rsidRPr="00C82C6B">
              <w:t>(°F)</w:t>
            </w:r>
          </w:p>
        </w:tc>
      </w:tr>
      <w:tr w:rsidR="00C82C6B" w:rsidRPr="00C82C6B" w:rsidTr="00DE74BB">
        <w:trPr>
          <w:trHeight w:val="300"/>
        </w:trPr>
        <w:tc>
          <w:tcPr>
            <w:tcW w:w="1008" w:type="dxa"/>
            <w:vMerge w:val="restart"/>
            <w:shd w:val="clear" w:color="auto" w:fill="auto"/>
            <w:vAlign w:val="center"/>
            <w:hideMark/>
          </w:tcPr>
          <w:p w:rsidR="00C82C6B" w:rsidRPr="00C82C6B" w:rsidRDefault="00C82C6B" w:rsidP="00B56CD1">
            <w:pPr>
              <w:pStyle w:val="TableText"/>
            </w:pPr>
            <w:r w:rsidRPr="00C82C6B">
              <w:t>1-in-10 August System Peak Day</w:t>
            </w:r>
          </w:p>
        </w:tc>
        <w:tc>
          <w:tcPr>
            <w:tcW w:w="720" w:type="dxa"/>
            <w:shd w:val="clear" w:color="auto" w:fill="auto"/>
            <w:noWrap/>
            <w:vAlign w:val="center"/>
            <w:hideMark/>
          </w:tcPr>
          <w:p w:rsidR="00C82C6B" w:rsidRPr="00C82C6B" w:rsidRDefault="00C82C6B" w:rsidP="00B56CD1">
            <w:pPr>
              <w:pStyle w:val="TableText"/>
            </w:pPr>
            <w:r w:rsidRPr="00C82C6B">
              <w:t>2012</w:t>
            </w:r>
          </w:p>
        </w:tc>
        <w:tc>
          <w:tcPr>
            <w:tcW w:w="1260" w:type="dxa"/>
            <w:shd w:val="clear" w:color="auto" w:fill="auto"/>
            <w:noWrap/>
            <w:vAlign w:val="center"/>
            <w:hideMark/>
          </w:tcPr>
          <w:p w:rsidR="00C82C6B" w:rsidRPr="00C82C6B" w:rsidRDefault="00C82C6B" w:rsidP="00B56CD1">
            <w:pPr>
              <w:pStyle w:val="TableText"/>
            </w:pPr>
            <w:r w:rsidRPr="00C82C6B">
              <w:t>196</w:t>
            </w:r>
          </w:p>
        </w:tc>
        <w:tc>
          <w:tcPr>
            <w:tcW w:w="1448" w:type="dxa"/>
            <w:shd w:val="clear" w:color="auto" w:fill="auto"/>
            <w:noWrap/>
            <w:vAlign w:val="center"/>
            <w:hideMark/>
          </w:tcPr>
          <w:p w:rsidR="00C82C6B" w:rsidRPr="00C82C6B" w:rsidRDefault="00C82C6B" w:rsidP="00B56CD1">
            <w:pPr>
              <w:pStyle w:val="TableText"/>
            </w:pPr>
            <w:r w:rsidRPr="00C82C6B">
              <w:t>18.4</w:t>
            </w:r>
          </w:p>
        </w:tc>
        <w:tc>
          <w:tcPr>
            <w:tcW w:w="1286" w:type="dxa"/>
            <w:shd w:val="clear" w:color="auto" w:fill="auto"/>
            <w:noWrap/>
            <w:vAlign w:val="center"/>
            <w:hideMark/>
          </w:tcPr>
          <w:p w:rsidR="00C82C6B" w:rsidRPr="00C82C6B" w:rsidRDefault="00C82C6B" w:rsidP="00B56CD1">
            <w:pPr>
              <w:pStyle w:val="TableText"/>
            </w:pPr>
            <w:r w:rsidRPr="00C82C6B">
              <w:t>17.8</w:t>
            </w:r>
          </w:p>
        </w:tc>
        <w:tc>
          <w:tcPr>
            <w:tcW w:w="1286" w:type="dxa"/>
            <w:shd w:val="clear" w:color="auto" w:fill="auto"/>
            <w:noWrap/>
            <w:vAlign w:val="center"/>
            <w:hideMark/>
          </w:tcPr>
          <w:p w:rsidR="00C82C6B" w:rsidRPr="00C82C6B" w:rsidRDefault="00C82C6B" w:rsidP="00B56CD1">
            <w:pPr>
              <w:pStyle w:val="TableText"/>
            </w:pPr>
            <w:r w:rsidRPr="00C82C6B">
              <w:t>0.6</w:t>
            </w:r>
          </w:p>
        </w:tc>
        <w:tc>
          <w:tcPr>
            <w:tcW w:w="1286" w:type="dxa"/>
            <w:shd w:val="clear" w:color="auto" w:fill="auto"/>
            <w:noWrap/>
            <w:vAlign w:val="center"/>
            <w:hideMark/>
          </w:tcPr>
          <w:p w:rsidR="00C82C6B" w:rsidRPr="00C82C6B" w:rsidRDefault="00C82C6B" w:rsidP="00B56CD1">
            <w:pPr>
              <w:pStyle w:val="TableText"/>
            </w:pPr>
            <w:r w:rsidRPr="00C82C6B">
              <w:t>3.2%</w:t>
            </w:r>
          </w:p>
        </w:tc>
        <w:tc>
          <w:tcPr>
            <w:tcW w:w="1282" w:type="dxa"/>
            <w:shd w:val="clear" w:color="auto" w:fill="auto"/>
            <w:noWrap/>
            <w:vAlign w:val="center"/>
            <w:hideMark/>
          </w:tcPr>
          <w:p w:rsidR="00C82C6B" w:rsidRPr="00C82C6B" w:rsidRDefault="00C82C6B" w:rsidP="00B56CD1">
            <w:pPr>
              <w:pStyle w:val="TableText"/>
            </w:pPr>
            <w:r w:rsidRPr="00C82C6B">
              <w:t>96.4</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2013</w:t>
            </w:r>
          </w:p>
        </w:tc>
        <w:tc>
          <w:tcPr>
            <w:tcW w:w="1260" w:type="dxa"/>
            <w:shd w:val="clear" w:color="auto" w:fill="auto"/>
            <w:noWrap/>
            <w:vAlign w:val="center"/>
            <w:hideMark/>
          </w:tcPr>
          <w:p w:rsidR="00C82C6B" w:rsidRPr="00C82C6B" w:rsidRDefault="00C82C6B" w:rsidP="00B56CD1">
            <w:pPr>
              <w:pStyle w:val="TableText"/>
            </w:pPr>
            <w:r w:rsidRPr="00C82C6B">
              <w:t>218</w:t>
            </w:r>
          </w:p>
        </w:tc>
        <w:tc>
          <w:tcPr>
            <w:tcW w:w="1448" w:type="dxa"/>
            <w:shd w:val="clear" w:color="auto" w:fill="auto"/>
            <w:noWrap/>
            <w:vAlign w:val="center"/>
            <w:hideMark/>
          </w:tcPr>
          <w:p w:rsidR="00C82C6B" w:rsidRPr="00C82C6B" w:rsidRDefault="00C82C6B" w:rsidP="00B56CD1">
            <w:pPr>
              <w:pStyle w:val="TableText"/>
            </w:pPr>
            <w:r w:rsidRPr="00C82C6B">
              <w:t>20.2</w:t>
            </w:r>
          </w:p>
        </w:tc>
        <w:tc>
          <w:tcPr>
            <w:tcW w:w="1286" w:type="dxa"/>
            <w:shd w:val="clear" w:color="auto" w:fill="auto"/>
            <w:noWrap/>
            <w:vAlign w:val="center"/>
            <w:hideMark/>
          </w:tcPr>
          <w:p w:rsidR="00C82C6B" w:rsidRPr="00C82C6B" w:rsidRDefault="00C82C6B" w:rsidP="00B56CD1">
            <w:pPr>
              <w:pStyle w:val="TableText"/>
            </w:pPr>
            <w:r w:rsidRPr="00C82C6B">
              <w:t>19.6</w:t>
            </w:r>
          </w:p>
        </w:tc>
        <w:tc>
          <w:tcPr>
            <w:tcW w:w="1286" w:type="dxa"/>
            <w:shd w:val="clear" w:color="auto" w:fill="auto"/>
            <w:noWrap/>
            <w:vAlign w:val="center"/>
            <w:hideMark/>
          </w:tcPr>
          <w:p w:rsidR="00C82C6B" w:rsidRPr="00C82C6B" w:rsidRDefault="00C82C6B" w:rsidP="00B56CD1">
            <w:pPr>
              <w:pStyle w:val="TableText"/>
            </w:pPr>
            <w:r w:rsidRPr="00C82C6B">
              <w:t>0.7</w:t>
            </w:r>
          </w:p>
        </w:tc>
        <w:tc>
          <w:tcPr>
            <w:tcW w:w="1286" w:type="dxa"/>
            <w:shd w:val="clear" w:color="auto" w:fill="auto"/>
            <w:noWrap/>
            <w:vAlign w:val="center"/>
            <w:hideMark/>
          </w:tcPr>
          <w:p w:rsidR="00C82C6B" w:rsidRPr="00C82C6B" w:rsidRDefault="00C82C6B" w:rsidP="00B56CD1">
            <w:pPr>
              <w:pStyle w:val="TableText"/>
            </w:pPr>
            <w:r w:rsidRPr="00C82C6B">
              <w:t>3.3%</w:t>
            </w:r>
          </w:p>
        </w:tc>
        <w:tc>
          <w:tcPr>
            <w:tcW w:w="1282" w:type="dxa"/>
            <w:shd w:val="clear" w:color="auto" w:fill="auto"/>
            <w:noWrap/>
            <w:vAlign w:val="center"/>
            <w:hideMark/>
          </w:tcPr>
          <w:p w:rsidR="00C82C6B" w:rsidRPr="00C82C6B" w:rsidRDefault="00C82C6B" w:rsidP="00B56CD1">
            <w:pPr>
              <w:pStyle w:val="TableText"/>
            </w:pPr>
            <w:r w:rsidRPr="00C82C6B">
              <w:t>96.6</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2014</w:t>
            </w:r>
          </w:p>
        </w:tc>
        <w:tc>
          <w:tcPr>
            <w:tcW w:w="1260" w:type="dxa"/>
            <w:shd w:val="clear" w:color="auto" w:fill="auto"/>
            <w:noWrap/>
            <w:vAlign w:val="center"/>
            <w:hideMark/>
          </w:tcPr>
          <w:p w:rsidR="00C82C6B" w:rsidRPr="00C82C6B" w:rsidRDefault="00C82C6B" w:rsidP="00B56CD1">
            <w:pPr>
              <w:pStyle w:val="TableText"/>
            </w:pPr>
            <w:r w:rsidRPr="00C82C6B">
              <w:t>218</w:t>
            </w:r>
          </w:p>
        </w:tc>
        <w:tc>
          <w:tcPr>
            <w:tcW w:w="1448" w:type="dxa"/>
            <w:shd w:val="clear" w:color="auto" w:fill="auto"/>
            <w:noWrap/>
            <w:vAlign w:val="center"/>
            <w:hideMark/>
          </w:tcPr>
          <w:p w:rsidR="00C82C6B" w:rsidRPr="00C82C6B" w:rsidRDefault="00C82C6B" w:rsidP="00B56CD1">
            <w:pPr>
              <w:pStyle w:val="TableText"/>
            </w:pPr>
            <w:r w:rsidRPr="00C82C6B">
              <w:t>20.2</w:t>
            </w:r>
          </w:p>
        </w:tc>
        <w:tc>
          <w:tcPr>
            <w:tcW w:w="1286" w:type="dxa"/>
            <w:shd w:val="clear" w:color="auto" w:fill="auto"/>
            <w:noWrap/>
            <w:vAlign w:val="center"/>
            <w:hideMark/>
          </w:tcPr>
          <w:p w:rsidR="00C82C6B" w:rsidRPr="00C82C6B" w:rsidRDefault="00C82C6B" w:rsidP="00B56CD1">
            <w:pPr>
              <w:pStyle w:val="TableText"/>
            </w:pPr>
            <w:r w:rsidRPr="00C82C6B">
              <w:t>19.6</w:t>
            </w:r>
          </w:p>
        </w:tc>
        <w:tc>
          <w:tcPr>
            <w:tcW w:w="1286" w:type="dxa"/>
            <w:shd w:val="clear" w:color="auto" w:fill="auto"/>
            <w:noWrap/>
            <w:vAlign w:val="center"/>
            <w:hideMark/>
          </w:tcPr>
          <w:p w:rsidR="00C82C6B" w:rsidRPr="00C82C6B" w:rsidRDefault="00C82C6B" w:rsidP="00B56CD1">
            <w:pPr>
              <w:pStyle w:val="TableText"/>
            </w:pPr>
            <w:r w:rsidRPr="00C82C6B">
              <w:t>0.7</w:t>
            </w:r>
          </w:p>
        </w:tc>
        <w:tc>
          <w:tcPr>
            <w:tcW w:w="1286" w:type="dxa"/>
            <w:shd w:val="clear" w:color="auto" w:fill="auto"/>
            <w:noWrap/>
            <w:vAlign w:val="center"/>
            <w:hideMark/>
          </w:tcPr>
          <w:p w:rsidR="00C82C6B" w:rsidRPr="00C82C6B" w:rsidRDefault="00C82C6B" w:rsidP="00B56CD1">
            <w:pPr>
              <w:pStyle w:val="TableText"/>
            </w:pPr>
            <w:r w:rsidRPr="00C82C6B">
              <w:t>3.3%</w:t>
            </w:r>
          </w:p>
        </w:tc>
        <w:tc>
          <w:tcPr>
            <w:tcW w:w="1282" w:type="dxa"/>
            <w:shd w:val="clear" w:color="auto" w:fill="auto"/>
            <w:noWrap/>
            <w:vAlign w:val="center"/>
            <w:hideMark/>
          </w:tcPr>
          <w:p w:rsidR="00C82C6B" w:rsidRPr="00C82C6B" w:rsidRDefault="00C82C6B" w:rsidP="00B56CD1">
            <w:pPr>
              <w:pStyle w:val="TableText"/>
            </w:pPr>
            <w:r w:rsidRPr="00C82C6B">
              <w:t>96.6</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2015</w:t>
            </w:r>
          </w:p>
        </w:tc>
        <w:tc>
          <w:tcPr>
            <w:tcW w:w="1260" w:type="dxa"/>
            <w:shd w:val="clear" w:color="auto" w:fill="auto"/>
            <w:noWrap/>
            <w:vAlign w:val="center"/>
            <w:hideMark/>
          </w:tcPr>
          <w:p w:rsidR="00C82C6B" w:rsidRPr="00C82C6B" w:rsidRDefault="00C82C6B" w:rsidP="00B56CD1">
            <w:pPr>
              <w:pStyle w:val="TableText"/>
            </w:pPr>
            <w:r w:rsidRPr="00C82C6B">
              <w:t>11,718</w:t>
            </w:r>
          </w:p>
        </w:tc>
        <w:tc>
          <w:tcPr>
            <w:tcW w:w="1448" w:type="dxa"/>
            <w:shd w:val="clear" w:color="auto" w:fill="auto"/>
            <w:noWrap/>
            <w:vAlign w:val="center"/>
            <w:hideMark/>
          </w:tcPr>
          <w:p w:rsidR="00C82C6B" w:rsidRPr="00C82C6B" w:rsidRDefault="00C82C6B" w:rsidP="00B56CD1">
            <w:pPr>
              <w:pStyle w:val="TableText"/>
            </w:pPr>
            <w:r w:rsidRPr="00C82C6B">
              <w:t>395.7</w:t>
            </w:r>
          </w:p>
        </w:tc>
        <w:tc>
          <w:tcPr>
            <w:tcW w:w="1286" w:type="dxa"/>
            <w:shd w:val="clear" w:color="auto" w:fill="auto"/>
            <w:noWrap/>
            <w:vAlign w:val="center"/>
            <w:hideMark/>
          </w:tcPr>
          <w:p w:rsidR="00C82C6B" w:rsidRPr="00C82C6B" w:rsidRDefault="00C82C6B" w:rsidP="00B56CD1">
            <w:pPr>
              <w:pStyle w:val="TableText"/>
            </w:pPr>
            <w:r w:rsidRPr="00C82C6B">
              <w:t>373.0</w:t>
            </w:r>
          </w:p>
        </w:tc>
        <w:tc>
          <w:tcPr>
            <w:tcW w:w="1286" w:type="dxa"/>
            <w:shd w:val="clear" w:color="auto" w:fill="auto"/>
            <w:noWrap/>
            <w:vAlign w:val="center"/>
            <w:hideMark/>
          </w:tcPr>
          <w:p w:rsidR="00C82C6B" w:rsidRPr="00C82C6B" w:rsidRDefault="00C82C6B" w:rsidP="00B56CD1">
            <w:pPr>
              <w:pStyle w:val="TableText"/>
            </w:pPr>
            <w:r w:rsidRPr="00C82C6B">
              <w:t>22.6</w:t>
            </w:r>
          </w:p>
        </w:tc>
        <w:tc>
          <w:tcPr>
            <w:tcW w:w="1286" w:type="dxa"/>
            <w:shd w:val="clear" w:color="auto" w:fill="auto"/>
            <w:noWrap/>
            <w:vAlign w:val="center"/>
            <w:hideMark/>
          </w:tcPr>
          <w:p w:rsidR="00C82C6B" w:rsidRPr="00C82C6B" w:rsidRDefault="00C82C6B" w:rsidP="00B56CD1">
            <w:pPr>
              <w:pStyle w:val="TableText"/>
            </w:pPr>
            <w:r w:rsidRPr="00C82C6B">
              <w:t>5.7%</w:t>
            </w:r>
          </w:p>
        </w:tc>
        <w:tc>
          <w:tcPr>
            <w:tcW w:w="1282" w:type="dxa"/>
            <w:shd w:val="clear" w:color="auto" w:fill="auto"/>
            <w:noWrap/>
            <w:vAlign w:val="center"/>
            <w:hideMark/>
          </w:tcPr>
          <w:p w:rsidR="00C82C6B" w:rsidRPr="00C82C6B" w:rsidRDefault="00C82C6B" w:rsidP="00B56CD1">
            <w:pPr>
              <w:pStyle w:val="TableText"/>
            </w:pPr>
            <w:r w:rsidRPr="00C82C6B">
              <w:t>98.1</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2016</w:t>
            </w:r>
          </w:p>
        </w:tc>
        <w:tc>
          <w:tcPr>
            <w:tcW w:w="1260" w:type="dxa"/>
            <w:shd w:val="clear" w:color="auto" w:fill="auto"/>
            <w:noWrap/>
            <w:vAlign w:val="center"/>
            <w:hideMark/>
          </w:tcPr>
          <w:p w:rsidR="00C82C6B" w:rsidRPr="00C82C6B" w:rsidRDefault="00C82C6B" w:rsidP="00B56CD1">
            <w:pPr>
              <w:pStyle w:val="TableText"/>
            </w:pPr>
            <w:r w:rsidRPr="00C82C6B">
              <w:t>17,008</w:t>
            </w:r>
          </w:p>
        </w:tc>
        <w:tc>
          <w:tcPr>
            <w:tcW w:w="1448" w:type="dxa"/>
            <w:shd w:val="clear" w:color="auto" w:fill="auto"/>
            <w:noWrap/>
            <w:vAlign w:val="center"/>
            <w:hideMark/>
          </w:tcPr>
          <w:p w:rsidR="00C82C6B" w:rsidRPr="00C82C6B" w:rsidRDefault="00C82C6B" w:rsidP="00B56CD1">
            <w:pPr>
              <w:pStyle w:val="TableText"/>
            </w:pPr>
            <w:r w:rsidRPr="00C82C6B">
              <w:t>577.8</w:t>
            </w:r>
          </w:p>
        </w:tc>
        <w:tc>
          <w:tcPr>
            <w:tcW w:w="1286" w:type="dxa"/>
            <w:shd w:val="clear" w:color="auto" w:fill="auto"/>
            <w:noWrap/>
            <w:vAlign w:val="center"/>
            <w:hideMark/>
          </w:tcPr>
          <w:p w:rsidR="00C82C6B" w:rsidRPr="00C82C6B" w:rsidRDefault="00C82C6B" w:rsidP="00B56CD1">
            <w:pPr>
              <w:pStyle w:val="TableText"/>
            </w:pPr>
            <w:r w:rsidRPr="00C82C6B">
              <w:t>544.1</w:t>
            </w:r>
          </w:p>
        </w:tc>
        <w:tc>
          <w:tcPr>
            <w:tcW w:w="1286" w:type="dxa"/>
            <w:shd w:val="clear" w:color="auto" w:fill="auto"/>
            <w:noWrap/>
            <w:vAlign w:val="center"/>
            <w:hideMark/>
          </w:tcPr>
          <w:p w:rsidR="00C82C6B" w:rsidRPr="00C82C6B" w:rsidRDefault="00C82C6B" w:rsidP="00B56CD1">
            <w:pPr>
              <w:pStyle w:val="TableText"/>
            </w:pPr>
            <w:r w:rsidRPr="00C82C6B">
              <w:t>33.7</w:t>
            </w:r>
          </w:p>
        </w:tc>
        <w:tc>
          <w:tcPr>
            <w:tcW w:w="1286" w:type="dxa"/>
            <w:shd w:val="clear" w:color="auto" w:fill="auto"/>
            <w:noWrap/>
            <w:vAlign w:val="center"/>
            <w:hideMark/>
          </w:tcPr>
          <w:p w:rsidR="00C82C6B" w:rsidRPr="00C82C6B" w:rsidRDefault="00C82C6B" w:rsidP="00B56CD1">
            <w:pPr>
              <w:pStyle w:val="TableText"/>
            </w:pPr>
            <w:r w:rsidRPr="00C82C6B">
              <w:t>5.8%</w:t>
            </w:r>
          </w:p>
        </w:tc>
        <w:tc>
          <w:tcPr>
            <w:tcW w:w="1282" w:type="dxa"/>
            <w:shd w:val="clear" w:color="auto" w:fill="auto"/>
            <w:noWrap/>
            <w:vAlign w:val="center"/>
            <w:hideMark/>
          </w:tcPr>
          <w:p w:rsidR="00C82C6B" w:rsidRPr="00C82C6B" w:rsidRDefault="00C82C6B" w:rsidP="00B56CD1">
            <w:pPr>
              <w:pStyle w:val="TableText"/>
            </w:pPr>
            <w:r w:rsidRPr="00C82C6B">
              <w:t>97.4</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2017</w:t>
            </w:r>
          </w:p>
        </w:tc>
        <w:tc>
          <w:tcPr>
            <w:tcW w:w="1260" w:type="dxa"/>
            <w:shd w:val="clear" w:color="auto" w:fill="auto"/>
            <w:noWrap/>
            <w:vAlign w:val="center"/>
            <w:hideMark/>
          </w:tcPr>
          <w:p w:rsidR="00C82C6B" w:rsidRPr="00C82C6B" w:rsidRDefault="00C82C6B" w:rsidP="00B56CD1">
            <w:pPr>
              <w:pStyle w:val="TableText"/>
            </w:pPr>
            <w:r w:rsidRPr="00C82C6B">
              <w:t>30,649</w:t>
            </w:r>
          </w:p>
        </w:tc>
        <w:tc>
          <w:tcPr>
            <w:tcW w:w="1448" w:type="dxa"/>
            <w:shd w:val="clear" w:color="auto" w:fill="auto"/>
            <w:noWrap/>
            <w:vAlign w:val="center"/>
            <w:hideMark/>
          </w:tcPr>
          <w:p w:rsidR="00C82C6B" w:rsidRPr="00C82C6B" w:rsidRDefault="00C82C6B" w:rsidP="00B56CD1">
            <w:pPr>
              <w:pStyle w:val="TableText"/>
            </w:pPr>
            <w:r w:rsidRPr="00C82C6B">
              <w:t>1,087.1</w:t>
            </w:r>
          </w:p>
        </w:tc>
        <w:tc>
          <w:tcPr>
            <w:tcW w:w="1286" w:type="dxa"/>
            <w:shd w:val="clear" w:color="auto" w:fill="auto"/>
            <w:noWrap/>
            <w:vAlign w:val="center"/>
            <w:hideMark/>
          </w:tcPr>
          <w:p w:rsidR="00C82C6B" w:rsidRPr="00C82C6B" w:rsidRDefault="00C82C6B" w:rsidP="00B56CD1">
            <w:pPr>
              <w:pStyle w:val="TableText"/>
            </w:pPr>
            <w:r w:rsidRPr="00C82C6B">
              <w:t>1,021.8</w:t>
            </w:r>
          </w:p>
        </w:tc>
        <w:tc>
          <w:tcPr>
            <w:tcW w:w="1286" w:type="dxa"/>
            <w:shd w:val="clear" w:color="auto" w:fill="auto"/>
            <w:noWrap/>
            <w:vAlign w:val="center"/>
            <w:hideMark/>
          </w:tcPr>
          <w:p w:rsidR="00C82C6B" w:rsidRPr="00C82C6B" w:rsidRDefault="00C82C6B" w:rsidP="00B56CD1">
            <w:pPr>
              <w:pStyle w:val="TableText"/>
            </w:pPr>
            <w:r w:rsidRPr="00C82C6B">
              <w:t>65.4</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96.4</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2018</w:t>
            </w:r>
          </w:p>
        </w:tc>
        <w:tc>
          <w:tcPr>
            <w:tcW w:w="1260" w:type="dxa"/>
            <w:shd w:val="clear" w:color="auto" w:fill="auto"/>
            <w:noWrap/>
            <w:vAlign w:val="center"/>
            <w:hideMark/>
          </w:tcPr>
          <w:p w:rsidR="00C82C6B" w:rsidRPr="00C82C6B" w:rsidRDefault="00C82C6B" w:rsidP="00B56CD1">
            <w:pPr>
              <w:pStyle w:val="TableText"/>
            </w:pPr>
            <w:r w:rsidRPr="00C82C6B">
              <w:t>28,399</w:t>
            </w:r>
          </w:p>
        </w:tc>
        <w:tc>
          <w:tcPr>
            <w:tcW w:w="1448" w:type="dxa"/>
            <w:shd w:val="clear" w:color="auto" w:fill="auto"/>
            <w:noWrap/>
            <w:vAlign w:val="center"/>
            <w:hideMark/>
          </w:tcPr>
          <w:p w:rsidR="00C82C6B" w:rsidRPr="00C82C6B" w:rsidRDefault="00C82C6B" w:rsidP="00B56CD1">
            <w:pPr>
              <w:pStyle w:val="TableText"/>
            </w:pPr>
            <w:r w:rsidRPr="00C82C6B">
              <w:t>1,003.1</w:t>
            </w:r>
          </w:p>
        </w:tc>
        <w:tc>
          <w:tcPr>
            <w:tcW w:w="1286" w:type="dxa"/>
            <w:shd w:val="clear" w:color="auto" w:fill="auto"/>
            <w:noWrap/>
            <w:vAlign w:val="center"/>
            <w:hideMark/>
          </w:tcPr>
          <w:p w:rsidR="00C82C6B" w:rsidRPr="00C82C6B" w:rsidRDefault="00C82C6B" w:rsidP="00B56CD1">
            <w:pPr>
              <w:pStyle w:val="TableText"/>
            </w:pPr>
            <w:r w:rsidRPr="00C82C6B">
              <w:t>943.0</w:t>
            </w:r>
          </w:p>
        </w:tc>
        <w:tc>
          <w:tcPr>
            <w:tcW w:w="1286" w:type="dxa"/>
            <w:shd w:val="clear" w:color="auto" w:fill="auto"/>
            <w:noWrap/>
            <w:vAlign w:val="center"/>
            <w:hideMark/>
          </w:tcPr>
          <w:p w:rsidR="00C82C6B" w:rsidRPr="00C82C6B" w:rsidRDefault="00C82C6B" w:rsidP="00B56CD1">
            <w:pPr>
              <w:pStyle w:val="TableText"/>
            </w:pPr>
            <w:r w:rsidRPr="00C82C6B">
              <w:t>60.1</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96.6</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2019</w:t>
            </w:r>
          </w:p>
        </w:tc>
        <w:tc>
          <w:tcPr>
            <w:tcW w:w="1260" w:type="dxa"/>
            <w:shd w:val="clear" w:color="auto" w:fill="auto"/>
            <w:noWrap/>
            <w:vAlign w:val="center"/>
            <w:hideMark/>
          </w:tcPr>
          <w:p w:rsidR="00C82C6B" w:rsidRPr="00C82C6B" w:rsidRDefault="00C82C6B" w:rsidP="00B56CD1">
            <w:pPr>
              <w:pStyle w:val="TableText"/>
            </w:pPr>
            <w:r w:rsidRPr="00C82C6B">
              <w:t>28,618</w:t>
            </w:r>
          </w:p>
        </w:tc>
        <w:tc>
          <w:tcPr>
            <w:tcW w:w="1448" w:type="dxa"/>
            <w:shd w:val="clear" w:color="auto" w:fill="auto"/>
            <w:noWrap/>
            <w:vAlign w:val="center"/>
            <w:hideMark/>
          </w:tcPr>
          <w:p w:rsidR="00C82C6B" w:rsidRPr="00C82C6B" w:rsidRDefault="00C82C6B" w:rsidP="00B56CD1">
            <w:pPr>
              <w:pStyle w:val="TableText"/>
            </w:pPr>
            <w:r w:rsidRPr="00C82C6B">
              <w:t>1,010.8</w:t>
            </w:r>
          </w:p>
        </w:tc>
        <w:tc>
          <w:tcPr>
            <w:tcW w:w="1286" w:type="dxa"/>
            <w:shd w:val="clear" w:color="auto" w:fill="auto"/>
            <w:noWrap/>
            <w:vAlign w:val="center"/>
            <w:hideMark/>
          </w:tcPr>
          <w:p w:rsidR="00C82C6B" w:rsidRPr="00C82C6B" w:rsidRDefault="00C82C6B" w:rsidP="00B56CD1">
            <w:pPr>
              <w:pStyle w:val="TableText"/>
            </w:pPr>
            <w:r w:rsidRPr="00C82C6B">
              <w:t>950.2</w:t>
            </w:r>
          </w:p>
        </w:tc>
        <w:tc>
          <w:tcPr>
            <w:tcW w:w="1286" w:type="dxa"/>
            <w:shd w:val="clear" w:color="auto" w:fill="auto"/>
            <w:noWrap/>
            <w:vAlign w:val="center"/>
            <w:hideMark/>
          </w:tcPr>
          <w:p w:rsidR="00C82C6B" w:rsidRPr="00C82C6B" w:rsidRDefault="00C82C6B" w:rsidP="00B56CD1">
            <w:pPr>
              <w:pStyle w:val="TableText"/>
            </w:pPr>
            <w:r w:rsidRPr="00C82C6B">
              <w:t>60.6</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96.6</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2020</w:t>
            </w:r>
          </w:p>
        </w:tc>
        <w:tc>
          <w:tcPr>
            <w:tcW w:w="1260" w:type="dxa"/>
            <w:shd w:val="clear" w:color="auto" w:fill="auto"/>
            <w:noWrap/>
            <w:vAlign w:val="center"/>
            <w:hideMark/>
          </w:tcPr>
          <w:p w:rsidR="00C82C6B" w:rsidRPr="00C82C6B" w:rsidRDefault="00C82C6B" w:rsidP="00B56CD1">
            <w:pPr>
              <w:pStyle w:val="TableText"/>
            </w:pPr>
            <w:r w:rsidRPr="00C82C6B">
              <w:t>28,863</w:t>
            </w:r>
          </w:p>
        </w:tc>
        <w:tc>
          <w:tcPr>
            <w:tcW w:w="1448" w:type="dxa"/>
            <w:shd w:val="clear" w:color="auto" w:fill="auto"/>
            <w:noWrap/>
            <w:vAlign w:val="center"/>
            <w:hideMark/>
          </w:tcPr>
          <w:p w:rsidR="00C82C6B" w:rsidRPr="00C82C6B" w:rsidRDefault="00C82C6B" w:rsidP="00B56CD1">
            <w:pPr>
              <w:pStyle w:val="TableText"/>
            </w:pPr>
            <w:r w:rsidRPr="00C82C6B">
              <w:t>1,019.4</w:t>
            </w:r>
          </w:p>
        </w:tc>
        <w:tc>
          <w:tcPr>
            <w:tcW w:w="1286" w:type="dxa"/>
            <w:shd w:val="clear" w:color="auto" w:fill="auto"/>
            <w:noWrap/>
            <w:vAlign w:val="center"/>
            <w:hideMark/>
          </w:tcPr>
          <w:p w:rsidR="00C82C6B" w:rsidRPr="00C82C6B" w:rsidRDefault="00C82C6B" w:rsidP="00B56CD1">
            <w:pPr>
              <w:pStyle w:val="TableText"/>
            </w:pPr>
            <w:r w:rsidRPr="00C82C6B">
              <w:t>958.3</w:t>
            </w:r>
          </w:p>
        </w:tc>
        <w:tc>
          <w:tcPr>
            <w:tcW w:w="1286" w:type="dxa"/>
            <w:shd w:val="clear" w:color="auto" w:fill="auto"/>
            <w:noWrap/>
            <w:vAlign w:val="center"/>
            <w:hideMark/>
          </w:tcPr>
          <w:p w:rsidR="00C82C6B" w:rsidRPr="00C82C6B" w:rsidRDefault="00C82C6B" w:rsidP="00B56CD1">
            <w:pPr>
              <w:pStyle w:val="TableText"/>
            </w:pPr>
            <w:r w:rsidRPr="00C82C6B">
              <w:t>61.1</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96.6</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2021</w:t>
            </w:r>
          </w:p>
        </w:tc>
        <w:tc>
          <w:tcPr>
            <w:tcW w:w="1260" w:type="dxa"/>
            <w:shd w:val="clear" w:color="auto" w:fill="auto"/>
            <w:noWrap/>
            <w:vAlign w:val="center"/>
            <w:hideMark/>
          </w:tcPr>
          <w:p w:rsidR="00C82C6B" w:rsidRPr="00C82C6B" w:rsidRDefault="00C82C6B" w:rsidP="00B56CD1">
            <w:pPr>
              <w:pStyle w:val="TableText"/>
            </w:pPr>
            <w:r w:rsidRPr="00C82C6B">
              <w:t>29,105</w:t>
            </w:r>
          </w:p>
        </w:tc>
        <w:tc>
          <w:tcPr>
            <w:tcW w:w="1448" w:type="dxa"/>
            <w:shd w:val="clear" w:color="auto" w:fill="auto"/>
            <w:noWrap/>
            <w:vAlign w:val="center"/>
            <w:hideMark/>
          </w:tcPr>
          <w:p w:rsidR="00C82C6B" w:rsidRPr="00C82C6B" w:rsidRDefault="00C82C6B" w:rsidP="00B56CD1">
            <w:pPr>
              <w:pStyle w:val="TableText"/>
            </w:pPr>
            <w:r w:rsidRPr="00C82C6B">
              <w:t>1,027.9</w:t>
            </w:r>
          </w:p>
        </w:tc>
        <w:tc>
          <w:tcPr>
            <w:tcW w:w="1286" w:type="dxa"/>
            <w:shd w:val="clear" w:color="auto" w:fill="auto"/>
            <w:noWrap/>
            <w:vAlign w:val="center"/>
            <w:hideMark/>
          </w:tcPr>
          <w:p w:rsidR="00C82C6B" w:rsidRPr="00C82C6B" w:rsidRDefault="00C82C6B" w:rsidP="00B56CD1">
            <w:pPr>
              <w:pStyle w:val="TableText"/>
            </w:pPr>
            <w:r w:rsidRPr="00C82C6B">
              <w:t>966.3</w:t>
            </w:r>
          </w:p>
        </w:tc>
        <w:tc>
          <w:tcPr>
            <w:tcW w:w="1286" w:type="dxa"/>
            <w:shd w:val="clear" w:color="auto" w:fill="auto"/>
            <w:noWrap/>
            <w:vAlign w:val="center"/>
            <w:hideMark/>
          </w:tcPr>
          <w:p w:rsidR="00C82C6B" w:rsidRPr="00C82C6B" w:rsidRDefault="00C82C6B" w:rsidP="00B56CD1">
            <w:pPr>
              <w:pStyle w:val="TableText"/>
            </w:pPr>
            <w:r w:rsidRPr="00C82C6B">
              <w:t>61.6</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96.6</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2022</w:t>
            </w:r>
          </w:p>
        </w:tc>
        <w:tc>
          <w:tcPr>
            <w:tcW w:w="1260" w:type="dxa"/>
            <w:shd w:val="clear" w:color="auto" w:fill="auto"/>
            <w:noWrap/>
            <w:vAlign w:val="center"/>
            <w:hideMark/>
          </w:tcPr>
          <w:p w:rsidR="00C82C6B" w:rsidRPr="00C82C6B" w:rsidRDefault="00C82C6B" w:rsidP="00B56CD1">
            <w:pPr>
              <w:pStyle w:val="TableText"/>
            </w:pPr>
            <w:r w:rsidRPr="00C82C6B">
              <w:t>29,341</w:t>
            </w:r>
          </w:p>
        </w:tc>
        <w:tc>
          <w:tcPr>
            <w:tcW w:w="1448" w:type="dxa"/>
            <w:shd w:val="clear" w:color="auto" w:fill="auto"/>
            <w:noWrap/>
            <w:vAlign w:val="center"/>
            <w:hideMark/>
          </w:tcPr>
          <w:p w:rsidR="00C82C6B" w:rsidRPr="00C82C6B" w:rsidRDefault="00C82C6B" w:rsidP="00B56CD1">
            <w:pPr>
              <w:pStyle w:val="TableText"/>
            </w:pPr>
            <w:r w:rsidRPr="00C82C6B">
              <w:t>1,036.2</w:t>
            </w:r>
          </w:p>
        </w:tc>
        <w:tc>
          <w:tcPr>
            <w:tcW w:w="1286" w:type="dxa"/>
            <w:shd w:val="clear" w:color="auto" w:fill="auto"/>
            <w:noWrap/>
            <w:vAlign w:val="center"/>
            <w:hideMark/>
          </w:tcPr>
          <w:p w:rsidR="00C82C6B" w:rsidRPr="00C82C6B" w:rsidRDefault="00C82C6B" w:rsidP="00B56CD1">
            <w:pPr>
              <w:pStyle w:val="TableText"/>
            </w:pPr>
            <w:r w:rsidRPr="00C82C6B">
              <w:t>974.1</w:t>
            </w:r>
          </w:p>
        </w:tc>
        <w:tc>
          <w:tcPr>
            <w:tcW w:w="1286" w:type="dxa"/>
            <w:shd w:val="clear" w:color="auto" w:fill="auto"/>
            <w:noWrap/>
            <w:vAlign w:val="center"/>
            <w:hideMark/>
          </w:tcPr>
          <w:p w:rsidR="00C82C6B" w:rsidRPr="00C82C6B" w:rsidRDefault="00C82C6B" w:rsidP="00B56CD1">
            <w:pPr>
              <w:pStyle w:val="TableText"/>
            </w:pPr>
            <w:r w:rsidRPr="00C82C6B">
              <w:t>62.1</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96.6</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2023</w:t>
            </w:r>
          </w:p>
        </w:tc>
        <w:tc>
          <w:tcPr>
            <w:tcW w:w="1260" w:type="dxa"/>
            <w:shd w:val="clear" w:color="auto" w:fill="auto"/>
            <w:noWrap/>
            <w:vAlign w:val="center"/>
            <w:hideMark/>
          </w:tcPr>
          <w:p w:rsidR="00C82C6B" w:rsidRPr="00C82C6B" w:rsidRDefault="00C82C6B" w:rsidP="00B56CD1">
            <w:pPr>
              <w:pStyle w:val="TableText"/>
            </w:pPr>
            <w:r w:rsidRPr="00C82C6B">
              <w:t>29,566</w:t>
            </w:r>
          </w:p>
        </w:tc>
        <w:tc>
          <w:tcPr>
            <w:tcW w:w="1448" w:type="dxa"/>
            <w:shd w:val="clear" w:color="auto" w:fill="auto"/>
            <w:noWrap/>
            <w:vAlign w:val="center"/>
            <w:hideMark/>
          </w:tcPr>
          <w:p w:rsidR="00C82C6B" w:rsidRPr="00C82C6B" w:rsidRDefault="00C82C6B" w:rsidP="00B56CD1">
            <w:pPr>
              <w:pStyle w:val="TableText"/>
            </w:pPr>
            <w:r w:rsidRPr="00C82C6B">
              <w:t>1,044.1</w:t>
            </w:r>
          </w:p>
        </w:tc>
        <w:tc>
          <w:tcPr>
            <w:tcW w:w="1286" w:type="dxa"/>
            <w:shd w:val="clear" w:color="auto" w:fill="auto"/>
            <w:noWrap/>
            <w:vAlign w:val="center"/>
            <w:hideMark/>
          </w:tcPr>
          <w:p w:rsidR="00C82C6B" w:rsidRPr="00C82C6B" w:rsidRDefault="00C82C6B" w:rsidP="00B56CD1">
            <w:pPr>
              <w:pStyle w:val="TableText"/>
            </w:pPr>
            <w:r w:rsidRPr="00C82C6B">
              <w:t>981.6</w:t>
            </w:r>
          </w:p>
        </w:tc>
        <w:tc>
          <w:tcPr>
            <w:tcW w:w="1286" w:type="dxa"/>
            <w:shd w:val="clear" w:color="auto" w:fill="auto"/>
            <w:noWrap/>
            <w:vAlign w:val="center"/>
            <w:hideMark/>
          </w:tcPr>
          <w:p w:rsidR="00C82C6B" w:rsidRPr="00C82C6B" w:rsidRDefault="00C82C6B" w:rsidP="00B56CD1">
            <w:pPr>
              <w:pStyle w:val="TableText"/>
            </w:pPr>
            <w:r w:rsidRPr="00C82C6B">
              <w:t>62.6</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96.6</w:t>
            </w:r>
          </w:p>
        </w:tc>
      </w:tr>
      <w:tr w:rsidR="00C82C6B" w:rsidRPr="00C82C6B" w:rsidTr="00DE74BB">
        <w:trPr>
          <w:trHeight w:val="300"/>
        </w:trPr>
        <w:tc>
          <w:tcPr>
            <w:tcW w:w="1008" w:type="dxa"/>
            <w:vMerge w:val="restart"/>
            <w:shd w:val="clear" w:color="auto" w:fill="auto"/>
            <w:vAlign w:val="center"/>
            <w:hideMark/>
          </w:tcPr>
          <w:p w:rsidR="00C82C6B" w:rsidRPr="00C82C6B" w:rsidRDefault="00C82C6B" w:rsidP="00B56CD1">
            <w:pPr>
              <w:pStyle w:val="TableText"/>
            </w:pPr>
            <w:r w:rsidRPr="00C82C6B">
              <w:t>1-in-2 August System Peak Day</w:t>
            </w:r>
          </w:p>
        </w:tc>
        <w:tc>
          <w:tcPr>
            <w:tcW w:w="720" w:type="dxa"/>
            <w:shd w:val="clear" w:color="auto" w:fill="auto"/>
            <w:noWrap/>
            <w:vAlign w:val="center"/>
            <w:hideMark/>
          </w:tcPr>
          <w:p w:rsidR="00C82C6B" w:rsidRPr="00C82C6B" w:rsidRDefault="00C82C6B" w:rsidP="00B56CD1">
            <w:pPr>
              <w:pStyle w:val="TableText"/>
            </w:pPr>
            <w:r w:rsidRPr="00C82C6B">
              <w:t>2012</w:t>
            </w:r>
          </w:p>
        </w:tc>
        <w:tc>
          <w:tcPr>
            <w:tcW w:w="1260" w:type="dxa"/>
            <w:shd w:val="clear" w:color="auto" w:fill="auto"/>
            <w:noWrap/>
            <w:vAlign w:val="center"/>
            <w:hideMark/>
          </w:tcPr>
          <w:p w:rsidR="00C82C6B" w:rsidRPr="00C82C6B" w:rsidRDefault="00C82C6B" w:rsidP="00B56CD1">
            <w:pPr>
              <w:pStyle w:val="TableText"/>
            </w:pPr>
            <w:r w:rsidRPr="00C82C6B">
              <w:t>196</w:t>
            </w:r>
          </w:p>
        </w:tc>
        <w:tc>
          <w:tcPr>
            <w:tcW w:w="1448" w:type="dxa"/>
            <w:shd w:val="clear" w:color="auto" w:fill="auto"/>
            <w:noWrap/>
            <w:vAlign w:val="center"/>
            <w:hideMark/>
          </w:tcPr>
          <w:p w:rsidR="00C82C6B" w:rsidRPr="00C82C6B" w:rsidRDefault="00C82C6B" w:rsidP="00B56CD1">
            <w:pPr>
              <w:pStyle w:val="TableText"/>
            </w:pPr>
            <w:r w:rsidRPr="00C82C6B">
              <w:t>19.9</w:t>
            </w:r>
          </w:p>
        </w:tc>
        <w:tc>
          <w:tcPr>
            <w:tcW w:w="1286" w:type="dxa"/>
            <w:shd w:val="clear" w:color="auto" w:fill="auto"/>
            <w:noWrap/>
            <w:vAlign w:val="center"/>
            <w:hideMark/>
          </w:tcPr>
          <w:p w:rsidR="00C82C6B" w:rsidRPr="00C82C6B" w:rsidRDefault="00C82C6B" w:rsidP="00B56CD1">
            <w:pPr>
              <w:pStyle w:val="TableText"/>
            </w:pPr>
            <w:r w:rsidRPr="00C82C6B">
              <w:t>19.6</w:t>
            </w:r>
          </w:p>
        </w:tc>
        <w:tc>
          <w:tcPr>
            <w:tcW w:w="1286" w:type="dxa"/>
            <w:shd w:val="clear" w:color="auto" w:fill="auto"/>
            <w:noWrap/>
            <w:vAlign w:val="center"/>
            <w:hideMark/>
          </w:tcPr>
          <w:p w:rsidR="00C82C6B" w:rsidRPr="00C82C6B" w:rsidRDefault="00C82C6B" w:rsidP="00B56CD1">
            <w:pPr>
              <w:pStyle w:val="TableText"/>
            </w:pPr>
            <w:r w:rsidRPr="00C82C6B">
              <w:t>0.4</w:t>
            </w:r>
          </w:p>
        </w:tc>
        <w:tc>
          <w:tcPr>
            <w:tcW w:w="1286" w:type="dxa"/>
            <w:shd w:val="clear" w:color="auto" w:fill="auto"/>
            <w:noWrap/>
            <w:vAlign w:val="center"/>
            <w:hideMark/>
          </w:tcPr>
          <w:p w:rsidR="00C82C6B" w:rsidRPr="00C82C6B" w:rsidRDefault="00C82C6B" w:rsidP="00B56CD1">
            <w:pPr>
              <w:pStyle w:val="TableText"/>
            </w:pPr>
            <w:r w:rsidRPr="00C82C6B">
              <w:t>1.9%</w:t>
            </w:r>
          </w:p>
        </w:tc>
        <w:tc>
          <w:tcPr>
            <w:tcW w:w="1282" w:type="dxa"/>
            <w:shd w:val="clear" w:color="auto" w:fill="auto"/>
            <w:noWrap/>
            <w:vAlign w:val="center"/>
            <w:hideMark/>
          </w:tcPr>
          <w:p w:rsidR="00C82C6B" w:rsidRPr="00C82C6B" w:rsidRDefault="00C82C6B" w:rsidP="00B56CD1">
            <w:pPr>
              <w:pStyle w:val="TableText"/>
            </w:pPr>
            <w:r w:rsidRPr="00C82C6B">
              <w:t>94.6</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2013</w:t>
            </w:r>
          </w:p>
        </w:tc>
        <w:tc>
          <w:tcPr>
            <w:tcW w:w="1260" w:type="dxa"/>
            <w:shd w:val="clear" w:color="auto" w:fill="auto"/>
            <w:noWrap/>
            <w:vAlign w:val="center"/>
            <w:hideMark/>
          </w:tcPr>
          <w:p w:rsidR="00C82C6B" w:rsidRPr="00C82C6B" w:rsidRDefault="00C82C6B" w:rsidP="00B56CD1">
            <w:pPr>
              <w:pStyle w:val="TableText"/>
            </w:pPr>
            <w:r w:rsidRPr="00C82C6B">
              <w:t>218</w:t>
            </w:r>
          </w:p>
        </w:tc>
        <w:tc>
          <w:tcPr>
            <w:tcW w:w="1448" w:type="dxa"/>
            <w:shd w:val="clear" w:color="auto" w:fill="auto"/>
            <w:noWrap/>
            <w:vAlign w:val="center"/>
            <w:hideMark/>
          </w:tcPr>
          <w:p w:rsidR="00C82C6B" w:rsidRPr="00C82C6B" w:rsidRDefault="00C82C6B" w:rsidP="00B56CD1">
            <w:pPr>
              <w:pStyle w:val="TableText"/>
            </w:pPr>
            <w:r w:rsidRPr="00C82C6B">
              <w:t>21.9</w:t>
            </w:r>
          </w:p>
        </w:tc>
        <w:tc>
          <w:tcPr>
            <w:tcW w:w="1286" w:type="dxa"/>
            <w:shd w:val="clear" w:color="auto" w:fill="auto"/>
            <w:noWrap/>
            <w:vAlign w:val="center"/>
            <w:hideMark/>
          </w:tcPr>
          <w:p w:rsidR="00C82C6B" w:rsidRPr="00C82C6B" w:rsidRDefault="00C82C6B" w:rsidP="00B56CD1">
            <w:pPr>
              <w:pStyle w:val="TableText"/>
            </w:pPr>
            <w:r w:rsidRPr="00C82C6B">
              <w:t>21.5</w:t>
            </w:r>
          </w:p>
        </w:tc>
        <w:tc>
          <w:tcPr>
            <w:tcW w:w="1286" w:type="dxa"/>
            <w:shd w:val="clear" w:color="auto" w:fill="auto"/>
            <w:noWrap/>
            <w:vAlign w:val="center"/>
            <w:hideMark/>
          </w:tcPr>
          <w:p w:rsidR="00C82C6B" w:rsidRPr="00C82C6B" w:rsidRDefault="00C82C6B" w:rsidP="00B56CD1">
            <w:pPr>
              <w:pStyle w:val="TableText"/>
            </w:pPr>
            <w:r w:rsidRPr="00C82C6B">
              <w:t>0.4</w:t>
            </w:r>
          </w:p>
        </w:tc>
        <w:tc>
          <w:tcPr>
            <w:tcW w:w="1286" w:type="dxa"/>
            <w:shd w:val="clear" w:color="auto" w:fill="auto"/>
            <w:noWrap/>
            <w:vAlign w:val="center"/>
            <w:hideMark/>
          </w:tcPr>
          <w:p w:rsidR="00C82C6B" w:rsidRPr="00C82C6B" w:rsidRDefault="00C82C6B" w:rsidP="00B56CD1">
            <w:pPr>
              <w:pStyle w:val="TableText"/>
            </w:pPr>
            <w:r w:rsidRPr="00C82C6B">
              <w:t>2.0%</w:t>
            </w:r>
          </w:p>
        </w:tc>
        <w:tc>
          <w:tcPr>
            <w:tcW w:w="1282" w:type="dxa"/>
            <w:shd w:val="clear" w:color="auto" w:fill="auto"/>
            <w:noWrap/>
            <w:vAlign w:val="center"/>
            <w:hideMark/>
          </w:tcPr>
          <w:p w:rsidR="00C82C6B" w:rsidRPr="00C82C6B" w:rsidRDefault="00C82C6B" w:rsidP="00B56CD1">
            <w:pPr>
              <w:pStyle w:val="TableText"/>
            </w:pPr>
            <w:r w:rsidRPr="00C82C6B">
              <w:t>94.7</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2014</w:t>
            </w:r>
          </w:p>
        </w:tc>
        <w:tc>
          <w:tcPr>
            <w:tcW w:w="1260" w:type="dxa"/>
            <w:shd w:val="clear" w:color="auto" w:fill="auto"/>
            <w:noWrap/>
            <w:vAlign w:val="center"/>
            <w:hideMark/>
          </w:tcPr>
          <w:p w:rsidR="00C82C6B" w:rsidRPr="00C82C6B" w:rsidRDefault="00C82C6B" w:rsidP="00B56CD1">
            <w:pPr>
              <w:pStyle w:val="TableText"/>
            </w:pPr>
            <w:r w:rsidRPr="00C82C6B">
              <w:t>218</w:t>
            </w:r>
          </w:p>
        </w:tc>
        <w:tc>
          <w:tcPr>
            <w:tcW w:w="1448" w:type="dxa"/>
            <w:shd w:val="clear" w:color="auto" w:fill="auto"/>
            <w:noWrap/>
            <w:vAlign w:val="center"/>
            <w:hideMark/>
          </w:tcPr>
          <w:p w:rsidR="00C82C6B" w:rsidRPr="00C82C6B" w:rsidRDefault="00C82C6B" w:rsidP="00B56CD1">
            <w:pPr>
              <w:pStyle w:val="TableText"/>
            </w:pPr>
            <w:r w:rsidRPr="00C82C6B">
              <w:t>21.9</w:t>
            </w:r>
          </w:p>
        </w:tc>
        <w:tc>
          <w:tcPr>
            <w:tcW w:w="1286" w:type="dxa"/>
            <w:shd w:val="clear" w:color="auto" w:fill="auto"/>
            <w:noWrap/>
            <w:vAlign w:val="center"/>
            <w:hideMark/>
          </w:tcPr>
          <w:p w:rsidR="00C82C6B" w:rsidRPr="00C82C6B" w:rsidRDefault="00C82C6B" w:rsidP="00B56CD1">
            <w:pPr>
              <w:pStyle w:val="TableText"/>
            </w:pPr>
            <w:r w:rsidRPr="00C82C6B">
              <w:t>21.5</w:t>
            </w:r>
          </w:p>
        </w:tc>
        <w:tc>
          <w:tcPr>
            <w:tcW w:w="1286" w:type="dxa"/>
            <w:shd w:val="clear" w:color="auto" w:fill="auto"/>
            <w:noWrap/>
            <w:vAlign w:val="center"/>
            <w:hideMark/>
          </w:tcPr>
          <w:p w:rsidR="00C82C6B" w:rsidRPr="00C82C6B" w:rsidRDefault="00C82C6B" w:rsidP="00B56CD1">
            <w:pPr>
              <w:pStyle w:val="TableText"/>
            </w:pPr>
            <w:r w:rsidRPr="00C82C6B">
              <w:t>0.4</w:t>
            </w:r>
          </w:p>
        </w:tc>
        <w:tc>
          <w:tcPr>
            <w:tcW w:w="1286" w:type="dxa"/>
            <w:shd w:val="clear" w:color="auto" w:fill="auto"/>
            <w:noWrap/>
            <w:vAlign w:val="center"/>
            <w:hideMark/>
          </w:tcPr>
          <w:p w:rsidR="00C82C6B" w:rsidRPr="00C82C6B" w:rsidRDefault="00C82C6B" w:rsidP="00B56CD1">
            <w:pPr>
              <w:pStyle w:val="TableText"/>
            </w:pPr>
            <w:r w:rsidRPr="00C82C6B">
              <w:t>2.0%</w:t>
            </w:r>
          </w:p>
        </w:tc>
        <w:tc>
          <w:tcPr>
            <w:tcW w:w="1282" w:type="dxa"/>
            <w:shd w:val="clear" w:color="auto" w:fill="auto"/>
            <w:noWrap/>
            <w:vAlign w:val="center"/>
            <w:hideMark/>
          </w:tcPr>
          <w:p w:rsidR="00C82C6B" w:rsidRPr="00C82C6B" w:rsidRDefault="00C82C6B" w:rsidP="00B56CD1">
            <w:pPr>
              <w:pStyle w:val="TableText"/>
            </w:pPr>
            <w:r w:rsidRPr="00C82C6B">
              <w:t>94.7</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2015</w:t>
            </w:r>
          </w:p>
        </w:tc>
        <w:tc>
          <w:tcPr>
            <w:tcW w:w="1260" w:type="dxa"/>
            <w:shd w:val="clear" w:color="auto" w:fill="auto"/>
            <w:noWrap/>
            <w:vAlign w:val="center"/>
            <w:hideMark/>
          </w:tcPr>
          <w:p w:rsidR="00C82C6B" w:rsidRPr="00C82C6B" w:rsidRDefault="00C82C6B" w:rsidP="00B56CD1">
            <w:pPr>
              <w:pStyle w:val="TableText"/>
            </w:pPr>
            <w:r w:rsidRPr="00C82C6B">
              <w:t>11,718</w:t>
            </w:r>
          </w:p>
        </w:tc>
        <w:tc>
          <w:tcPr>
            <w:tcW w:w="1448" w:type="dxa"/>
            <w:shd w:val="clear" w:color="auto" w:fill="auto"/>
            <w:noWrap/>
            <w:vAlign w:val="center"/>
            <w:hideMark/>
          </w:tcPr>
          <w:p w:rsidR="00C82C6B" w:rsidRPr="00C82C6B" w:rsidRDefault="00C82C6B" w:rsidP="00B56CD1">
            <w:pPr>
              <w:pStyle w:val="TableText"/>
            </w:pPr>
            <w:r w:rsidRPr="00C82C6B">
              <w:t>400.2</w:t>
            </w:r>
          </w:p>
        </w:tc>
        <w:tc>
          <w:tcPr>
            <w:tcW w:w="1286" w:type="dxa"/>
            <w:shd w:val="clear" w:color="auto" w:fill="auto"/>
            <w:noWrap/>
            <w:vAlign w:val="center"/>
            <w:hideMark/>
          </w:tcPr>
          <w:p w:rsidR="00C82C6B" w:rsidRPr="00C82C6B" w:rsidRDefault="00C82C6B" w:rsidP="00B56CD1">
            <w:pPr>
              <w:pStyle w:val="TableText"/>
            </w:pPr>
            <w:r w:rsidRPr="00C82C6B">
              <w:t>376.7</w:t>
            </w:r>
          </w:p>
        </w:tc>
        <w:tc>
          <w:tcPr>
            <w:tcW w:w="1286" w:type="dxa"/>
            <w:shd w:val="clear" w:color="auto" w:fill="auto"/>
            <w:noWrap/>
            <w:vAlign w:val="center"/>
            <w:hideMark/>
          </w:tcPr>
          <w:p w:rsidR="00C82C6B" w:rsidRPr="00C82C6B" w:rsidRDefault="00C82C6B" w:rsidP="00B56CD1">
            <w:pPr>
              <w:pStyle w:val="TableText"/>
            </w:pPr>
            <w:r w:rsidRPr="00C82C6B">
              <w:t>23.5</w:t>
            </w:r>
          </w:p>
        </w:tc>
        <w:tc>
          <w:tcPr>
            <w:tcW w:w="1286" w:type="dxa"/>
            <w:shd w:val="clear" w:color="auto" w:fill="auto"/>
            <w:noWrap/>
            <w:vAlign w:val="center"/>
            <w:hideMark/>
          </w:tcPr>
          <w:p w:rsidR="00C82C6B" w:rsidRPr="00C82C6B" w:rsidRDefault="00C82C6B" w:rsidP="00B56CD1">
            <w:pPr>
              <w:pStyle w:val="TableText"/>
            </w:pPr>
            <w:r w:rsidRPr="00C82C6B">
              <w:t>5.9%</w:t>
            </w:r>
          </w:p>
        </w:tc>
        <w:tc>
          <w:tcPr>
            <w:tcW w:w="1282" w:type="dxa"/>
            <w:shd w:val="clear" w:color="auto" w:fill="auto"/>
            <w:noWrap/>
            <w:vAlign w:val="center"/>
            <w:hideMark/>
          </w:tcPr>
          <w:p w:rsidR="00C82C6B" w:rsidRPr="00C82C6B" w:rsidRDefault="00C82C6B" w:rsidP="00B56CD1">
            <w:pPr>
              <w:pStyle w:val="TableText"/>
            </w:pPr>
            <w:r w:rsidRPr="00C82C6B">
              <w:t>94.4</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2016</w:t>
            </w:r>
          </w:p>
        </w:tc>
        <w:tc>
          <w:tcPr>
            <w:tcW w:w="1260" w:type="dxa"/>
            <w:shd w:val="clear" w:color="auto" w:fill="auto"/>
            <w:noWrap/>
            <w:vAlign w:val="center"/>
            <w:hideMark/>
          </w:tcPr>
          <w:p w:rsidR="00C82C6B" w:rsidRPr="00C82C6B" w:rsidRDefault="00C82C6B" w:rsidP="00B56CD1">
            <w:pPr>
              <w:pStyle w:val="TableText"/>
            </w:pPr>
            <w:r w:rsidRPr="00C82C6B">
              <w:t>17,008</w:t>
            </w:r>
          </w:p>
        </w:tc>
        <w:tc>
          <w:tcPr>
            <w:tcW w:w="1448" w:type="dxa"/>
            <w:shd w:val="clear" w:color="auto" w:fill="auto"/>
            <w:noWrap/>
            <w:vAlign w:val="center"/>
            <w:hideMark/>
          </w:tcPr>
          <w:p w:rsidR="00C82C6B" w:rsidRPr="00C82C6B" w:rsidRDefault="00C82C6B" w:rsidP="00B56CD1">
            <w:pPr>
              <w:pStyle w:val="TableText"/>
            </w:pPr>
            <w:r w:rsidRPr="00C82C6B">
              <w:t>585.7</w:t>
            </w:r>
          </w:p>
        </w:tc>
        <w:tc>
          <w:tcPr>
            <w:tcW w:w="1286" w:type="dxa"/>
            <w:shd w:val="clear" w:color="auto" w:fill="auto"/>
            <w:noWrap/>
            <w:vAlign w:val="center"/>
            <w:hideMark/>
          </w:tcPr>
          <w:p w:rsidR="00C82C6B" w:rsidRPr="00C82C6B" w:rsidRDefault="00C82C6B" w:rsidP="00B56CD1">
            <w:pPr>
              <w:pStyle w:val="TableText"/>
            </w:pPr>
            <w:r w:rsidRPr="00C82C6B">
              <w:t>551.1</w:t>
            </w:r>
          </w:p>
        </w:tc>
        <w:tc>
          <w:tcPr>
            <w:tcW w:w="1286" w:type="dxa"/>
            <w:shd w:val="clear" w:color="auto" w:fill="auto"/>
            <w:noWrap/>
            <w:vAlign w:val="center"/>
            <w:hideMark/>
          </w:tcPr>
          <w:p w:rsidR="00C82C6B" w:rsidRPr="00C82C6B" w:rsidRDefault="00C82C6B" w:rsidP="00B56CD1">
            <w:pPr>
              <w:pStyle w:val="TableText"/>
            </w:pPr>
            <w:r w:rsidRPr="00C82C6B">
              <w:t>34.6</w:t>
            </w:r>
          </w:p>
        </w:tc>
        <w:tc>
          <w:tcPr>
            <w:tcW w:w="1286" w:type="dxa"/>
            <w:shd w:val="clear" w:color="auto" w:fill="auto"/>
            <w:noWrap/>
            <w:vAlign w:val="center"/>
            <w:hideMark/>
          </w:tcPr>
          <w:p w:rsidR="00C82C6B" w:rsidRPr="00C82C6B" w:rsidRDefault="00C82C6B" w:rsidP="00B56CD1">
            <w:pPr>
              <w:pStyle w:val="TableText"/>
            </w:pPr>
            <w:r w:rsidRPr="00C82C6B">
              <w:t>5.9%</w:t>
            </w:r>
          </w:p>
        </w:tc>
        <w:tc>
          <w:tcPr>
            <w:tcW w:w="1282" w:type="dxa"/>
            <w:shd w:val="clear" w:color="auto" w:fill="auto"/>
            <w:noWrap/>
            <w:vAlign w:val="center"/>
            <w:hideMark/>
          </w:tcPr>
          <w:p w:rsidR="00C82C6B" w:rsidRPr="00C82C6B" w:rsidRDefault="00C82C6B" w:rsidP="00B56CD1">
            <w:pPr>
              <w:pStyle w:val="TableText"/>
            </w:pPr>
            <w:r w:rsidRPr="00C82C6B">
              <w:t>94.3</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2017</w:t>
            </w:r>
          </w:p>
        </w:tc>
        <w:tc>
          <w:tcPr>
            <w:tcW w:w="1260" w:type="dxa"/>
            <w:shd w:val="clear" w:color="auto" w:fill="auto"/>
            <w:noWrap/>
            <w:vAlign w:val="center"/>
            <w:hideMark/>
          </w:tcPr>
          <w:p w:rsidR="00C82C6B" w:rsidRPr="00C82C6B" w:rsidRDefault="00C82C6B" w:rsidP="00B56CD1">
            <w:pPr>
              <w:pStyle w:val="TableText"/>
            </w:pPr>
            <w:r w:rsidRPr="00C82C6B">
              <w:t>30,649</w:t>
            </w:r>
          </w:p>
        </w:tc>
        <w:tc>
          <w:tcPr>
            <w:tcW w:w="1448" w:type="dxa"/>
            <w:shd w:val="clear" w:color="auto" w:fill="auto"/>
            <w:noWrap/>
            <w:vAlign w:val="center"/>
            <w:hideMark/>
          </w:tcPr>
          <w:p w:rsidR="00C82C6B" w:rsidRPr="00C82C6B" w:rsidRDefault="00C82C6B" w:rsidP="00B56CD1">
            <w:pPr>
              <w:pStyle w:val="TableText"/>
            </w:pPr>
            <w:r w:rsidRPr="00C82C6B">
              <w:t>1,103.0</w:t>
            </w:r>
          </w:p>
        </w:tc>
        <w:tc>
          <w:tcPr>
            <w:tcW w:w="1286" w:type="dxa"/>
            <w:shd w:val="clear" w:color="auto" w:fill="auto"/>
            <w:noWrap/>
            <w:vAlign w:val="center"/>
            <w:hideMark/>
          </w:tcPr>
          <w:p w:rsidR="00C82C6B" w:rsidRPr="00C82C6B" w:rsidRDefault="00C82C6B" w:rsidP="00B56CD1">
            <w:pPr>
              <w:pStyle w:val="TableText"/>
            </w:pPr>
            <w:r w:rsidRPr="00C82C6B">
              <w:t>1,036.4</w:t>
            </w:r>
          </w:p>
        </w:tc>
        <w:tc>
          <w:tcPr>
            <w:tcW w:w="1286" w:type="dxa"/>
            <w:shd w:val="clear" w:color="auto" w:fill="auto"/>
            <w:noWrap/>
            <w:vAlign w:val="center"/>
            <w:hideMark/>
          </w:tcPr>
          <w:p w:rsidR="00C82C6B" w:rsidRPr="00C82C6B" w:rsidRDefault="00C82C6B" w:rsidP="00B56CD1">
            <w:pPr>
              <w:pStyle w:val="TableText"/>
            </w:pPr>
            <w:r w:rsidRPr="00C82C6B">
              <w:t>66.6</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93.9</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2018</w:t>
            </w:r>
          </w:p>
        </w:tc>
        <w:tc>
          <w:tcPr>
            <w:tcW w:w="1260" w:type="dxa"/>
            <w:shd w:val="clear" w:color="auto" w:fill="auto"/>
            <w:noWrap/>
            <w:vAlign w:val="center"/>
            <w:hideMark/>
          </w:tcPr>
          <w:p w:rsidR="00C82C6B" w:rsidRPr="00C82C6B" w:rsidRDefault="00C82C6B" w:rsidP="00B56CD1">
            <w:pPr>
              <w:pStyle w:val="TableText"/>
            </w:pPr>
            <w:r w:rsidRPr="00C82C6B">
              <w:t>28,399</w:t>
            </w:r>
          </w:p>
        </w:tc>
        <w:tc>
          <w:tcPr>
            <w:tcW w:w="1448" w:type="dxa"/>
            <w:shd w:val="clear" w:color="auto" w:fill="auto"/>
            <w:noWrap/>
            <w:vAlign w:val="center"/>
            <w:hideMark/>
          </w:tcPr>
          <w:p w:rsidR="00C82C6B" w:rsidRPr="00C82C6B" w:rsidRDefault="00C82C6B" w:rsidP="00B56CD1">
            <w:pPr>
              <w:pStyle w:val="TableText"/>
            </w:pPr>
            <w:r w:rsidRPr="00C82C6B">
              <w:t>1,017.4</w:t>
            </w:r>
          </w:p>
        </w:tc>
        <w:tc>
          <w:tcPr>
            <w:tcW w:w="1286" w:type="dxa"/>
            <w:shd w:val="clear" w:color="auto" w:fill="auto"/>
            <w:noWrap/>
            <w:vAlign w:val="center"/>
            <w:hideMark/>
          </w:tcPr>
          <w:p w:rsidR="00C82C6B" w:rsidRPr="00C82C6B" w:rsidRDefault="00C82C6B" w:rsidP="00B56CD1">
            <w:pPr>
              <w:pStyle w:val="TableText"/>
            </w:pPr>
            <w:r w:rsidRPr="00C82C6B">
              <w:t>956.1</w:t>
            </w:r>
          </w:p>
        </w:tc>
        <w:tc>
          <w:tcPr>
            <w:tcW w:w="1286" w:type="dxa"/>
            <w:shd w:val="clear" w:color="auto" w:fill="auto"/>
            <w:noWrap/>
            <w:vAlign w:val="center"/>
            <w:hideMark/>
          </w:tcPr>
          <w:p w:rsidR="00C82C6B" w:rsidRPr="00C82C6B" w:rsidRDefault="00C82C6B" w:rsidP="00B56CD1">
            <w:pPr>
              <w:pStyle w:val="TableText"/>
            </w:pPr>
            <w:r w:rsidRPr="00C82C6B">
              <w:t>61.3</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94.0</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2019</w:t>
            </w:r>
          </w:p>
        </w:tc>
        <w:tc>
          <w:tcPr>
            <w:tcW w:w="1260" w:type="dxa"/>
            <w:shd w:val="clear" w:color="auto" w:fill="auto"/>
            <w:noWrap/>
            <w:vAlign w:val="center"/>
            <w:hideMark/>
          </w:tcPr>
          <w:p w:rsidR="00C82C6B" w:rsidRPr="00C82C6B" w:rsidRDefault="00C82C6B" w:rsidP="00B56CD1">
            <w:pPr>
              <w:pStyle w:val="TableText"/>
            </w:pPr>
            <w:r w:rsidRPr="00C82C6B">
              <w:t>28,618</w:t>
            </w:r>
          </w:p>
        </w:tc>
        <w:tc>
          <w:tcPr>
            <w:tcW w:w="1448" w:type="dxa"/>
            <w:shd w:val="clear" w:color="auto" w:fill="auto"/>
            <w:noWrap/>
            <w:vAlign w:val="center"/>
            <w:hideMark/>
          </w:tcPr>
          <w:p w:rsidR="00C82C6B" w:rsidRPr="00C82C6B" w:rsidRDefault="00C82C6B" w:rsidP="00B56CD1">
            <w:pPr>
              <w:pStyle w:val="TableText"/>
            </w:pPr>
            <w:r w:rsidRPr="00C82C6B">
              <w:t>1,025.2</w:t>
            </w:r>
          </w:p>
        </w:tc>
        <w:tc>
          <w:tcPr>
            <w:tcW w:w="1286" w:type="dxa"/>
            <w:shd w:val="clear" w:color="auto" w:fill="auto"/>
            <w:noWrap/>
            <w:vAlign w:val="center"/>
            <w:hideMark/>
          </w:tcPr>
          <w:p w:rsidR="00C82C6B" w:rsidRPr="00C82C6B" w:rsidRDefault="00C82C6B" w:rsidP="00B56CD1">
            <w:pPr>
              <w:pStyle w:val="TableText"/>
            </w:pPr>
            <w:r w:rsidRPr="00C82C6B">
              <w:t>963.4</w:t>
            </w:r>
          </w:p>
        </w:tc>
        <w:tc>
          <w:tcPr>
            <w:tcW w:w="1286" w:type="dxa"/>
            <w:shd w:val="clear" w:color="auto" w:fill="auto"/>
            <w:noWrap/>
            <w:vAlign w:val="center"/>
            <w:hideMark/>
          </w:tcPr>
          <w:p w:rsidR="00C82C6B" w:rsidRPr="00C82C6B" w:rsidRDefault="00C82C6B" w:rsidP="00B56CD1">
            <w:pPr>
              <w:pStyle w:val="TableText"/>
            </w:pPr>
            <w:r w:rsidRPr="00C82C6B">
              <w:t>61.8</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94.0</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2020</w:t>
            </w:r>
          </w:p>
        </w:tc>
        <w:tc>
          <w:tcPr>
            <w:tcW w:w="1260" w:type="dxa"/>
            <w:shd w:val="clear" w:color="auto" w:fill="auto"/>
            <w:noWrap/>
            <w:vAlign w:val="center"/>
            <w:hideMark/>
          </w:tcPr>
          <w:p w:rsidR="00C82C6B" w:rsidRPr="00C82C6B" w:rsidRDefault="00C82C6B" w:rsidP="00B56CD1">
            <w:pPr>
              <w:pStyle w:val="TableText"/>
            </w:pPr>
            <w:r w:rsidRPr="00C82C6B">
              <w:t>28,863</w:t>
            </w:r>
          </w:p>
        </w:tc>
        <w:tc>
          <w:tcPr>
            <w:tcW w:w="1448" w:type="dxa"/>
            <w:shd w:val="clear" w:color="auto" w:fill="auto"/>
            <w:noWrap/>
            <w:vAlign w:val="center"/>
            <w:hideMark/>
          </w:tcPr>
          <w:p w:rsidR="00C82C6B" w:rsidRPr="00C82C6B" w:rsidRDefault="00C82C6B" w:rsidP="00B56CD1">
            <w:pPr>
              <w:pStyle w:val="TableText"/>
            </w:pPr>
            <w:r w:rsidRPr="00C82C6B">
              <w:t>1,033.9</w:t>
            </w:r>
          </w:p>
        </w:tc>
        <w:tc>
          <w:tcPr>
            <w:tcW w:w="1286" w:type="dxa"/>
            <w:shd w:val="clear" w:color="auto" w:fill="auto"/>
            <w:noWrap/>
            <w:vAlign w:val="center"/>
            <w:hideMark/>
          </w:tcPr>
          <w:p w:rsidR="00C82C6B" w:rsidRPr="00C82C6B" w:rsidRDefault="00C82C6B" w:rsidP="00B56CD1">
            <w:pPr>
              <w:pStyle w:val="TableText"/>
            </w:pPr>
            <w:r w:rsidRPr="00C82C6B">
              <w:t>971.6</w:t>
            </w:r>
          </w:p>
        </w:tc>
        <w:tc>
          <w:tcPr>
            <w:tcW w:w="1286" w:type="dxa"/>
            <w:shd w:val="clear" w:color="auto" w:fill="auto"/>
            <w:noWrap/>
            <w:vAlign w:val="center"/>
            <w:hideMark/>
          </w:tcPr>
          <w:p w:rsidR="00C82C6B" w:rsidRPr="00C82C6B" w:rsidRDefault="00C82C6B" w:rsidP="00B56CD1">
            <w:pPr>
              <w:pStyle w:val="TableText"/>
            </w:pPr>
            <w:r w:rsidRPr="00C82C6B">
              <w:t>62.3</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94.0</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2021</w:t>
            </w:r>
          </w:p>
        </w:tc>
        <w:tc>
          <w:tcPr>
            <w:tcW w:w="1260" w:type="dxa"/>
            <w:shd w:val="clear" w:color="auto" w:fill="auto"/>
            <w:noWrap/>
            <w:vAlign w:val="center"/>
            <w:hideMark/>
          </w:tcPr>
          <w:p w:rsidR="00C82C6B" w:rsidRPr="00C82C6B" w:rsidRDefault="00C82C6B" w:rsidP="00B56CD1">
            <w:pPr>
              <w:pStyle w:val="TableText"/>
            </w:pPr>
            <w:r w:rsidRPr="00C82C6B">
              <w:t>29,105</w:t>
            </w:r>
          </w:p>
        </w:tc>
        <w:tc>
          <w:tcPr>
            <w:tcW w:w="1448" w:type="dxa"/>
            <w:shd w:val="clear" w:color="auto" w:fill="auto"/>
            <w:noWrap/>
            <w:vAlign w:val="center"/>
            <w:hideMark/>
          </w:tcPr>
          <w:p w:rsidR="00C82C6B" w:rsidRPr="00C82C6B" w:rsidRDefault="00C82C6B" w:rsidP="00B56CD1">
            <w:pPr>
              <w:pStyle w:val="TableText"/>
            </w:pPr>
            <w:r w:rsidRPr="00C82C6B">
              <w:t>1,042.6</w:t>
            </w:r>
          </w:p>
        </w:tc>
        <w:tc>
          <w:tcPr>
            <w:tcW w:w="1286" w:type="dxa"/>
            <w:shd w:val="clear" w:color="auto" w:fill="auto"/>
            <w:noWrap/>
            <w:vAlign w:val="center"/>
            <w:hideMark/>
          </w:tcPr>
          <w:p w:rsidR="00C82C6B" w:rsidRPr="00C82C6B" w:rsidRDefault="00C82C6B" w:rsidP="00B56CD1">
            <w:pPr>
              <w:pStyle w:val="TableText"/>
            </w:pPr>
            <w:r w:rsidRPr="00C82C6B">
              <w:t>979.8</w:t>
            </w:r>
          </w:p>
        </w:tc>
        <w:tc>
          <w:tcPr>
            <w:tcW w:w="1286" w:type="dxa"/>
            <w:shd w:val="clear" w:color="auto" w:fill="auto"/>
            <w:noWrap/>
            <w:vAlign w:val="center"/>
            <w:hideMark/>
          </w:tcPr>
          <w:p w:rsidR="00C82C6B" w:rsidRPr="00C82C6B" w:rsidRDefault="00C82C6B" w:rsidP="00B56CD1">
            <w:pPr>
              <w:pStyle w:val="TableText"/>
            </w:pPr>
            <w:r w:rsidRPr="00C82C6B">
              <w:t>62.8</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94.0</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2022</w:t>
            </w:r>
          </w:p>
        </w:tc>
        <w:tc>
          <w:tcPr>
            <w:tcW w:w="1260" w:type="dxa"/>
            <w:shd w:val="clear" w:color="auto" w:fill="auto"/>
            <w:noWrap/>
            <w:vAlign w:val="center"/>
            <w:hideMark/>
          </w:tcPr>
          <w:p w:rsidR="00C82C6B" w:rsidRPr="00C82C6B" w:rsidRDefault="00C82C6B" w:rsidP="00B56CD1">
            <w:pPr>
              <w:pStyle w:val="TableText"/>
            </w:pPr>
            <w:r w:rsidRPr="00C82C6B">
              <w:t>29,341</w:t>
            </w:r>
          </w:p>
        </w:tc>
        <w:tc>
          <w:tcPr>
            <w:tcW w:w="1448" w:type="dxa"/>
            <w:shd w:val="clear" w:color="auto" w:fill="auto"/>
            <w:noWrap/>
            <w:vAlign w:val="center"/>
            <w:hideMark/>
          </w:tcPr>
          <w:p w:rsidR="00C82C6B" w:rsidRPr="00C82C6B" w:rsidRDefault="00C82C6B" w:rsidP="00B56CD1">
            <w:pPr>
              <w:pStyle w:val="TableText"/>
            </w:pPr>
            <w:r w:rsidRPr="00C82C6B">
              <w:t>1,051.0</w:t>
            </w:r>
          </w:p>
        </w:tc>
        <w:tc>
          <w:tcPr>
            <w:tcW w:w="1286" w:type="dxa"/>
            <w:shd w:val="clear" w:color="auto" w:fill="auto"/>
            <w:noWrap/>
            <w:vAlign w:val="center"/>
            <w:hideMark/>
          </w:tcPr>
          <w:p w:rsidR="00C82C6B" w:rsidRPr="00C82C6B" w:rsidRDefault="00C82C6B" w:rsidP="00B56CD1">
            <w:pPr>
              <w:pStyle w:val="TableText"/>
            </w:pPr>
            <w:r w:rsidRPr="00C82C6B">
              <w:t>987.7</w:t>
            </w:r>
          </w:p>
        </w:tc>
        <w:tc>
          <w:tcPr>
            <w:tcW w:w="1286" w:type="dxa"/>
            <w:shd w:val="clear" w:color="auto" w:fill="auto"/>
            <w:noWrap/>
            <w:vAlign w:val="center"/>
            <w:hideMark/>
          </w:tcPr>
          <w:p w:rsidR="00C82C6B" w:rsidRPr="00C82C6B" w:rsidRDefault="00C82C6B" w:rsidP="00B56CD1">
            <w:pPr>
              <w:pStyle w:val="TableText"/>
            </w:pPr>
            <w:r w:rsidRPr="00C82C6B">
              <w:t>63.3</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94.0</w:t>
            </w:r>
          </w:p>
        </w:tc>
      </w:tr>
      <w:tr w:rsidR="00C82C6B" w:rsidRPr="00C82C6B" w:rsidTr="00DE74BB">
        <w:trPr>
          <w:trHeight w:val="300"/>
        </w:trPr>
        <w:tc>
          <w:tcPr>
            <w:tcW w:w="1008" w:type="dxa"/>
            <w:vMerge/>
            <w:vAlign w:val="center"/>
            <w:hideMark/>
          </w:tcPr>
          <w:p w:rsidR="00C82C6B" w:rsidRPr="00C82C6B" w:rsidRDefault="00C82C6B" w:rsidP="00B56CD1">
            <w:pPr>
              <w:pStyle w:val="TableText"/>
            </w:pPr>
          </w:p>
        </w:tc>
        <w:tc>
          <w:tcPr>
            <w:tcW w:w="720" w:type="dxa"/>
            <w:shd w:val="clear" w:color="auto" w:fill="auto"/>
            <w:noWrap/>
            <w:vAlign w:val="center"/>
            <w:hideMark/>
          </w:tcPr>
          <w:p w:rsidR="00C82C6B" w:rsidRPr="00C82C6B" w:rsidRDefault="00C82C6B" w:rsidP="00B56CD1">
            <w:pPr>
              <w:pStyle w:val="TableText"/>
            </w:pPr>
            <w:r w:rsidRPr="00C82C6B">
              <w:t>2023</w:t>
            </w:r>
          </w:p>
        </w:tc>
        <w:tc>
          <w:tcPr>
            <w:tcW w:w="1260" w:type="dxa"/>
            <w:shd w:val="clear" w:color="auto" w:fill="auto"/>
            <w:noWrap/>
            <w:vAlign w:val="center"/>
            <w:hideMark/>
          </w:tcPr>
          <w:p w:rsidR="00C82C6B" w:rsidRPr="00C82C6B" w:rsidRDefault="00C82C6B" w:rsidP="00B56CD1">
            <w:pPr>
              <w:pStyle w:val="TableText"/>
            </w:pPr>
            <w:r w:rsidRPr="00C82C6B">
              <w:t>29,566</w:t>
            </w:r>
          </w:p>
        </w:tc>
        <w:tc>
          <w:tcPr>
            <w:tcW w:w="1448" w:type="dxa"/>
            <w:shd w:val="clear" w:color="auto" w:fill="auto"/>
            <w:noWrap/>
            <w:vAlign w:val="center"/>
            <w:hideMark/>
          </w:tcPr>
          <w:p w:rsidR="00C82C6B" w:rsidRPr="00C82C6B" w:rsidRDefault="00C82C6B" w:rsidP="00B56CD1">
            <w:pPr>
              <w:pStyle w:val="TableText"/>
            </w:pPr>
            <w:r w:rsidRPr="00C82C6B">
              <w:t>1,059.1</w:t>
            </w:r>
          </w:p>
        </w:tc>
        <w:tc>
          <w:tcPr>
            <w:tcW w:w="1286" w:type="dxa"/>
            <w:shd w:val="clear" w:color="auto" w:fill="auto"/>
            <w:noWrap/>
            <w:vAlign w:val="center"/>
            <w:hideMark/>
          </w:tcPr>
          <w:p w:rsidR="00C82C6B" w:rsidRPr="00C82C6B" w:rsidRDefault="00C82C6B" w:rsidP="00B56CD1">
            <w:pPr>
              <w:pStyle w:val="TableText"/>
            </w:pPr>
            <w:r w:rsidRPr="00C82C6B">
              <w:t>995.2</w:t>
            </w:r>
          </w:p>
        </w:tc>
        <w:tc>
          <w:tcPr>
            <w:tcW w:w="1286" w:type="dxa"/>
            <w:shd w:val="clear" w:color="auto" w:fill="auto"/>
            <w:noWrap/>
            <w:vAlign w:val="center"/>
            <w:hideMark/>
          </w:tcPr>
          <w:p w:rsidR="00C82C6B" w:rsidRPr="00C82C6B" w:rsidRDefault="00C82C6B" w:rsidP="00B56CD1">
            <w:pPr>
              <w:pStyle w:val="TableText"/>
            </w:pPr>
            <w:r w:rsidRPr="00C82C6B">
              <w:t>63.8</w:t>
            </w:r>
          </w:p>
        </w:tc>
        <w:tc>
          <w:tcPr>
            <w:tcW w:w="1286" w:type="dxa"/>
            <w:shd w:val="clear" w:color="auto" w:fill="auto"/>
            <w:noWrap/>
            <w:vAlign w:val="center"/>
            <w:hideMark/>
          </w:tcPr>
          <w:p w:rsidR="00C82C6B" w:rsidRPr="00C82C6B" w:rsidRDefault="00C82C6B" w:rsidP="00B56CD1">
            <w:pPr>
              <w:pStyle w:val="TableText"/>
            </w:pPr>
            <w:r w:rsidRPr="00C82C6B">
              <w:t>6.0%</w:t>
            </w:r>
          </w:p>
        </w:tc>
        <w:tc>
          <w:tcPr>
            <w:tcW w:w="1282" w:type="dxa"/>
            <w:shd w:val="clear" w:color="auto" w:fill="auto"/>
            <w:noWrap/>
            <w:vAlign w:val="center"/>
            <w:hideMark/>
          </w:tcPr>
          <w:p w:rsidR="00C82C6B" w:rsidRPr="00C82C6B" w:rsidRDefault="00C82C6B" w:rsidP="00B56CD1">
            <w:pPr>
              <w:pStyle w:val="TableText"/>
            </w:pPr>
            <w:r w:rsidRPr="00C82C6B">
              <w:t>94.0</w:t>
            </w:r>
          </w:p>
        </w:tc>
      </w:tr>
    </w:tbl>
    <w:p w:rsidR="00910EB3" w:rsidRDefault="00910EB3" w:rsidP="00910EB3"/>
    <w:p w:rsidR="00910EB3" w:rsidRDefault="00910EB3">
      <w:r>
        <w:br w:type="page"/>
      </w:r>
    </w:p>
    <w:p w:rsidR="00910EB3" w:rsidRDefault="00DA41F5" w:rsidP="00910EB3">
      <w:pPr>
        <w:pStyle w:val="TableFigureCaption"/>
      </w:pPr>
      <w:r>
        <w:lastRenderedPageBreak/>
        <w:t>Table D</w:t>
      </w:r>
      <w:r w:rsidR="00910EB3">
        <w:t>-3:</w:t>
      </w:r>
      <w:r w:rsidR="00E640AA">
        <w:t xml:space="preserve"> </w:t>
      </w:r>
      <w:r w:rsidR="00910EB3">
        <w:t>SCE August Peak Day CPP Portfolio</w:t>
      </w:r>
      <w:r w:rsidR="00EF76C3">
        <w:t xml:space="preserve"> </w:t>
      </w:r>
      <w:r w:rsidR="00910EB3">
        <w:t xml:space="preserve">Load Impacts </w:t>
      </w:r>
      <w:r w:rsidR="00910EB3">
        <w:br/>
        <w:t>(Hourly Average Reduction in MW Over Event Day Period 1</w:t>
      </w:r>
      <w:r w:rsidR="00CA470C">
        <w:t>–</w:t>
      </w:r>
      <w:r w:rsidR="00910EB3">
        <w:t>6 PM)</w:t>
      </w:r>
    </w:p>
    <w:tbl>
      <w:tblPr>
        <w:tblW w:w="8876" w:type="dxa"/>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6"/>
        <w:gridCol w:w="905"/>
        <w:gridCol w:w="1339"/>
        <w:gridCol w:w="1184"/>
        <w:gridCol w:w="1172"/>
        <w:gridCol w:w="960"/>
        <w:gridCol w:w="1194"/>
        <w:gridCol w:w="1116"/>
      </w:tblGrid>
      <w:tr w:rsidR="00910EB3" w:rsidRPr="00910EB3" w:rsidTr="00DE74BB">
        <w:trPr>
          <w:trHeight w:val="764"/>
        </w:trPr>
        <w:tc>
          <w:tcPr>
            <w:tcW w:w="1006" w:type="dxa"/>
            <w:vMerge w:val="restart"/>
            <w:tcBorders>
              <w:right w:val="single" w:sz="4" w:space="0" w:color="FFFFFF" w:themeColor="background1"/>
            </w:tcBorders>
            <w:shd w:val="clear" w:color="auto" w:fill="1F497D" w:themeFill="text2"/>
            <w:vAlign w:val="center"/>
            <w:hideMark/>
          </w:tcPr>
          <w:p w:rsidR="00910EB3" w:rsidRPr="00910EB3" w:rsidRDefault="00910EB3" w:rsidP="00B56CD1">
            <w:pPr>
              <w:pStyle w:val="TableHeader"/>
            </w:pPr>
            <w:r w:rsidRPr="00910EB3">
              <w:t>Weather Year</w:t>
            </w:r>
          </w:p>
        </w:tc>
        <w:tc>
          <w:tcPr>
            <w:tcW w:w="905" w:type="dxa"/>
            <w:vMerge w:val="restart"/>
            <w:tcBorders>
              <w:left w:val="single" w:sz="4" w:space="0" w:color="FFFFFF" w:themeColor="background1"/>
              <w:right w:val="single" w:sz="4" w:space="0" w:color="FFFFFF" w:themeColor="background1"/>
            </w:tcBorders>
            <w:shd w:val="clear" w:color="auto" w:fill="1F497D" w:themeFill="text2"/>
            <w:vAlign w:val="center"/>
            <w:hideMark/>
          </w:tcPr>
          <w:p w:rsidR="00910EB3" w:rsidRPr="00910EB3" w:rsidRDefault="00910EB3" w:rsidP="00B56CD1">
            <w:pPr>
              <w:pStyle w:val="TableHeader"/>
            </w:pPr>
            <w:r w:rsidRPr="00910EB3">
              <w:t>Year</w:t>
            </w:r>
          </w:p>
        </w:tc>
        <w:tc>
          <w:tcPr>
            <w:tcW w:w="1339" w:type="dxa"/>
            <w:vMerge w:val="restart"/>
            <w:tcBorders>
              <w:left w:val="single" w:sz="4" w:space="0" w:color="FFFFFF" w:themeColor="background1"/>
              <w:right w:val="single" w:sz="4" w:space="0" w:color="FFFFFF" w:themeColor="background1"/>
            </w:tcBorders>
            <w:shd w:val="clear" w:color="auto" w:fill="1F497D" w:themeFill="text2"/>
            <w:vAlign w:val="center"/>
            <w:hideMark/>
          </w:tcPr>
          <w:p w:rsidR="00910EB3" w:rsidRPr="00910EB3" w:rsidRDefault="00910EB3" w:rsidP="00B56CD1">
            <w:pPr>
              <w:pStyle w:val="TableHeader"/>
            </w:pPr>
            <w:r w:rsidRPr="00910EB3">
              <w:t>Forecasted Enrolled Accounts</w:t>
            </w:r>
          </w:p>
        </w:tc>
        <w:tc>
          <w:tcPr>
            <w:tcW w:w="1184" w:type="dxa"/>
            <w:tcBorders>
              <w:left w:val="single" w:sz="4" w:space="0" w:color="FFFFFF" w:themeColor="background1"/>
              <w:bottom w:val="single" w:sz="4" w:space="0" w:color="FFFFFF" w:themeColor="background1"/>
              <w:right w:val="single" w:sz="4" w:space="0" w:color="FFFFFF" w:themeColor="background1"/>
            </w:tcBorders>
            <w:shd w:val="clear" w:color="auto" w:fill="1F497D" w:themeFill="text2"/>
            <w:vAlign w:val="center"/>
            <w:hideMark/>
          </w:tcPr>
          <w:p w:rsidR="00910EB3" w:rsidRPr="00910EB3" w:rsidRDefault="00910EB3" w:rsidP="00DE74BB">
            <w:pPr>
              <w:pStyle w:val="TableHeader"/>
            </w:pPr>
            <w:r w:rsidRPr="00910EB3">
              <w:t>Avg. Reference Load</w:t>
            </w:r>
          </w:p>
        </w:tc>
        <w:tc>
          <w:tcPr>
            <w:tcW w:w="1172" w:type="dxa"/>
            <w:tcBorders>
              <w:left w:val="single" w:sz="4" w:space="0" w:color="FFFFFF" w:themeColor="background1"/>
              <w:bottom w:val="single" w:sz="4" w:space="0" w:color="FFFFFF" w:themeColor="background1"/>
              <w:right w:val="single" w:sz="4" w:space="0" w:color="FFFFFF" w:themeColor="background1"/>
            </w:tcBorders>
            <w:shd w:val="clear" w:color="auto" w:fill="1F497D" w:themeFill="text2"/>
            <w:vAlign w:val="center"/>
            <w:hideMark/>
          </w:tcPr>
          <w:p w:rsidR="00910EB3" w:rsidRPr="00910EB3" w:rsidRDefault="00910EB3" w:rsidP="00DE74BB">
            <w:pPr>
              <w:pStyle w:val="TableHeader"/>
            </w:pPr>
            <w:r w:rsidRPr="00910EB3">
              <w:t>Avg. Estimated Load with DR</w:t>
            </w:r>
          </w:p>
        </w:tc>
        <w:tc>
          <w:tcPr>
            <w:tcW w:w="960" w:type="dxa"/>
            <w:tcBorders>
              <w:left w:val="single" w:sz="4" w:space="0" w:color="FFFFFF" w:themeColor="background1"/>
              <w:bottom w:val="single" w:sz="4" w:space="0" w:color="FFFFFF" w:themeColor="background1"/>
              <w:right w:val="single" w:sz="4" w:space="0" w:color="FFFFFF" w:themeColor="background1"/>
            </w:tcBorders>
            <w:shd w:val="clear" w:color="auto" w:fill="1F497D" w:themeFill="text2"/>
            <w:vAlign w:val="center"/>
            <w:hideMark/>
          </w:tcPr>
          <w:p w:rsidR="00910EB3" w:rsidRPr="00910EB3" w:rsidRDefault="00910EB3" w:rsidP="00DE74BB">
            <w:pPr>
              <w:pStyle w:val="TableHeader"/>
            </w:pPr>
            <w:r w:rsidRPr="00910EB3">
              <w:t>Avg. Load Impact</w:t>
            </w:r>
          </w:p>
        </w:tc>
        <w:tc>
          <w:tcPr>
            <w:tcW w:w="1194" w:type="dxa"/>
            <w:tcBorders>
              <w:left w:val="single" w:sz="4" w:space="0" w:color="FFFFFF" w:themeColor="background1"/>
              <w:bottom w:val="single" w:sz="4" w:space="0" w:color="FFFFFF" w:themeColor="background1"/>
              <w:right w:val="single" w:sz="4" w:space="0" w:color="FFFFFF" w:themeColor="background1"/>
            </w:tcBorders>
            <w:shd w:val="clear" w:color="auto" w:fill="1F497D" w:themeFill="text2"/>
            <w:vAlign w:val="center"/>
            <w:hideMark/>
          </w:tcPr>
          <w:p w:rsidR="00910EB3" w:rsidRPr="00910EB3" w:rsidRDefault="00910EB3" w:rsidP="00B56CD1">
            <w:pPr>
              <w:pStyle w:val="TableHeader"/>
            </w:pPr>
            <w:r w:rsidRPr="00910EB3">
              <w:t>% Load Reduction</w:t>
            </w:r>
          </w:p>
        </w:tc>
        <w:tc>
          <w:tcPr>
            <w:tcW w:w="1116" w:type="dxa"/>
            <w:tcBorders>
              <w:left w:val="single" w:sz="4" w:space="0" w:color="FFFFFF" w:themeColor="background1"/>
              <w:bottom w:val="single" w:sz="4" w:space="0" w:color="FFFFFF" w:themeColor="background1"/>
            </w:tcBorders>
            <w:shd w:val="clear" w:color="auto" w:fill="1F497D" w:themeFill="text2"/>
            <w:vAlign w:val="center"/>
            <w:hideMark/>
          </w:tcPr>
          <w:p w:rsidR="00910EB3" w:rsidRPr="00910EB3" w:rsidRDefault="00910EB3" w:rsidP="00B56CD1">
            <w:pPr>
              <w:pStyle w:val="TableHeader"/>
            </w:pPr>
            <w:r w:rsidRPr="00910EB3">
              <w:t>Weighted Temp</w:t>
            </w:r>
          </w:p>
        </w:tc>
      </w:tr>
      <w:tr w:rsidR="00910EB3" w:rsidRPr="00910EB3" w:rsidTr="00DE74BB">
        <w:trPr>
          <w:trHeight w:val="300"/>
        </w:trPr>
        <w:tc>
          <w:tcPr>
            <w:tcW w:w="1006" w:type="dxa"/>
            <w:vMerge/>
            <w:tcBorders>
              <w:right w:val="single" w:sz="4" w:space="0" w:color="FFFFFF" w:themeColor="background1"/>
            </w:tcBorders>
            <w:shd w:val="clear" w:color="auto" w:fill="1F497D" w:themeFill="text2"/>
            <w:vAlign w:val="center"/>
            <w:hideMark/>
          </w:tcPr>
          <w:p w:rsidR="00910EB3" w:rsidRPr="00910EB3" w:rsidRDefault="00910EB3" w:rsidP="00B56CD1">
            <w:pPr>
              <w:pStyle w:val="TableHeader"/>
            </w:pPr>
          </w:p>
        </w:tc>
        <w:tc>
          <w:tcPr>
            <w:tcW w:w="905" w:type="dxa"/>
            <w:vMerge/>
            <w:tcBorders>
              <w:left w:val="single" w:sz="4" w:space="0" w:color="FFFFFF" w:themeColor="background1"/>
              <w:right w:val="single" w:sz="4" w:space="0" w:color="FFFFFF" w:themeColor="background1"/>
            </w:tcBorders>
            <w:shd w:val="clear" w:color="auto" w:fill="1F497D" w:themeFill="text2"/>
            <w:vAlign w:val="center"/>
            <w:hideMark/>
          </w:tcPr>
          <w:p w:rsidR="00910EB3" w:rsidRPr="00910EB3" w:rsidRDefault="00910EB3" w:rsidP="00B56CD1">
            <w:pPr>
              <w:pStyle w:val="TableHeader"/>
            </w:pPr>
          </w:p>
        </w:tc>
        <w:tc>
          <w:tcPr>
            <w:tcW w:w="1339" w:type="dxa"/>
            <w:vMerge/>
            <w:tcBorders>
              <w:left w:val="single" w:sz="4" w:space="0" w:color="FFFFFF" w:themeColor="background1"/>
              <w:right w:val="single" w:sz="4" w:space="0" w:color="FFFFFF" w:themeColor="background1"/>
            </w:tcBorders>
            <w:shd w:val="clear" w:color="auto" w:fill="1F497D" w:themeFill="text2"/>
            <w:vAlign w:val="center"/>
            <w:hideMark/>
          </w:tcPr>
          <w:p w:rsidR="00910EB3" w:rsidRPr="00910EB3" w:rsidRDefault="00910EB3" w:rsidP="00B56CD1">
            <w:pPr>
              <w:pStyle w:val="TableHeader"/>
            </w:pPr>
          </w:p>
        </w:tc>
        <w:tc>
          <w:tcPr>
            <w:tcW w:w="1184" w:type="dxa"/>
            <w:tcBorders>
              <w:top w:val="single" w:sz="4" w:space="0" w:color="FFFFFF" w:themeColor="background1"/>
              <w:left w:val="single" w:sz="4" w:space="0" w:color="FFFFFF" w:themeColor="background1"/>
              <w:right w:val="single" w:sz="4" w:space="0" w:color="FFFFFF" w:themeColor="background1"/>
            </w:tcBorders>
            <w:shd w:val="clear" w:color="auto" w:fill="1F497D" w:themeFill="text2"/>
            <w:vAlign w:val="center"/>
            <w:hideMark/>
          </w:tcPr>
          <w:p w:rsidR="00910EB3" w:rsidRPr="00910EB3" w:rsidRDefault="00DE74BB" w:rsidP="00DE74BB">
            <w:pPr>
              <w:pStyle w:val="TableHeader"/>
              <w:rPr>
                <w:sz w:val="18"/>
                <w:szCs w:val="18"/>
              </w:rPr>
            </w:pPr>
            <w:r w:rsidRPr="00910EB3">
              <w:t>MW</w:t>
            </w:r>
            <w:r>
              <w:t xml:space="preserve"> </w:t>
            </w:r>
            <w:r>
              <w:br/>
            </w:r>
            <w:r w:rsidR="00910EB3" w:rsidRPr="00910EB3">
              <w:rPr>
                <w:sz w:val="18"/>
                <w:szCs w:val="18"/>
              </w:rPr>
              <w:t>1</w:t>
            </w:r>
            <w:r w:rsidR="00CA470C">
              <w:rPr>
                <w:sz w:val="18"/>
                <w:szCs w:val="18"/>
              </w:rPr>
              <w:t>–</w:t>
            </w:r>
            <w:r w:rsidR="00910EB3" w:rsidRPr="00910EB3">
              <w:rPr>
                <w:sz w:val="18"/>
                <w:szCs w:val="18"/>
              </w:rPr>
              <w:t>6 PM</w:t>
            </w:r>
          </w:p>
        </w:tc>
        <w:tc>
          <w:tcPr>
            <w:tcW w:w="1172" w:type="dxa"/>
            <w:tcBorders>
              <w:top w:val="single" w:sz="4" w:space="0" w:color="FFFFFF" w:themeColor="background1"/>
              <w:left w:val="single" w:sz="4" w:space="0" w:color="FFFFFF" w:themeColor="background1"/>
              <w:right w:val="single" w:sz="4" w:space="0" w:color="FFFFFF" w:themeColor="background1"/>
            </w:tcBorders>
            <w:shd w:val="clear" w:color="auto" w:fill="1F497D" w:themeFill="text2"/>
            <w:vAlign w:val="center"/>
            <w:hideMark/>
          </w:tcPr>
          <w:p w:rsidR="00910EB3" w:rsidRPr="00910EB3" w:rsidRDefault="00DE74BB" w:rsidP="00DE74BB">
            <w:pPr>
              <w:pStyle w:val="TableHeader"/>
              <w:rPr>
                <w:sz w:val="18"/>
                <w:szCs w:val="18"/>
              </w:rPr>
            </w:pPr>
            <w:r w:rsidRPr="00910EB3">
              <w:t>MW</w:t>
            </w:r>
            <w:r>
              <w:br/>
            </w:r>
            <w:r w:rsidR="00910EB3" w:rsidRPr="00910EB3">
              <w:rPr>
                <w:sz w:val="18"/>
                <w:szCs w:val="18"/>
              </w:rPr>
              <w:t>1</w:t>
            </w:r>
            <w:r w:rsidR="00CA470C">
              <w:rPr>
                <w:sz w:val="18"/>
                <w:szCs w:val="18"/>
              </w:rPr>
              <w:t>–</w:t>
            </w:r>
            <w:r w:rsidR="00910EB3" w:rsidRPr="00910EB3">
              <w:rPr>
                <w:sz w:val="18"/>
                <w:szCs w:val="18"/>
              </w:rPr>
              <w:t>6 PM</w:t>
            </w:r>
          </w:p>
        </w:tc>
        <w:tc>
          <w:tcPr>
            <w:tcW w:w="960" w:type="dxa"/>
            <w:tcBorders>
              <w:top w:val="single" w:sz="4" w:space="0" w:color="FFFFFF" w:themeColor="background1"/>
              <w:left w:val="single" w:sz="4" w:space="0" w:color="FFFFFF" w:themeColor="background1"/>
              <w:right w:val="single" w:sz="4" w:space="0" w:color="FFFFFF" w:themeColor="background1"/>
            </w:tcBorders>
            <w:shd w:val="clear" w:color="auto" w:fill="1F497D" w:themeFill="text2"/>
            <w:vAlign w:val="center"/>
            <w:hideMark/>
          </w:tcPr>
          <w:p w:rsidR="00910EB3" w:rsidRPr="00910EB3" w:rsidRDefault="00DE74BB" w:rsidP="00DE74BB">
            <w:pPr>
              <w:pStyle w:val="TableHeader"/>
              <w:rPr>
                <w:sz w:val="18"/>
                <w:szCs w:val="18"/>
              </w:rPr>
            </w:pPr>
            <w:r w:rsidRPr="00910EB3">
              <w:t>MW</w:t>
            </w:r>
            <w:r>
              <w:br/>
            </w:r>
            <w:r w:rsidR="00910EB3" w:rsidRPr="00910EB3">
              <w:rPr>
                <w:sz w:val="18"/>
                <w:szCs w:val="18"/>
              </w:rPr>
              <w:t>1</w:t>
            </w:r>
            <w:r w:rsidR="00CA470C">
              <w:rPr>
                <w:sz w:val="18"/>
                <w:szCs w:val="18"/>
              </w:rPr>
              <w:t>–</w:t>
            </w:r>
            <w:r w:rsidR="00910EB3" w:rsidRPr="00910EB3">
              <w:rPr>
                <w:sz w:val="18"/>
                <w:szCs w:val="18"/>
              </w:rPr>
              <w:t>6 PM</w:t>
            </w:r>
          </w:p>
        </w:tc>
        <w:tc>
          <w:tcPr>
            <w:tcW w:w="1194" w:type="dxa"/>
            <w:tcBorders>
              <w:top w:val="single" w:sz="4" w:space="0" w:color="FFFFFF" w:themeColor="background1"/>
              <w:left w:val="single" w:sz="4" w:space="0" w:color="FFFFFF" w:themeColor="background1"/>
              <w:right w:val="single" w:sz="4" w:space="0" w:color="FFFFFF" w:themeColor="background1"/>
            </w:tcBorders>
            <w:shd w:val="clear" w:color="auto" w:fill="1F497D" w:themeFill="text2"/>
            <w:vAlign w:val="center"/>
            <w:hideMark/>
          </w:tcPr>
          <w:p w:rsidR="00910EB3" w:rsidRPr="00910EB3" w:rsidRDefault="00DE74BB" w:rsidP="00DE74BB">
            <w:pPr>
              <w:pStyle w:val="TableHeader"/>
              <w:rPr>
                <w:sz w:val="18"/>
                <w:szCs w:val="18"/>
              </w:rPr>
            </w:pPr>
            <w:r w:rsidRPr="00910EB3">
              <w:t>MW</w:t>
            </w:r>
            <w:r>
              <w:br/>
            </w:r>
            <w:r w:rsidR="00910EB3" w:rsidRPr="00910EB3">
              <w:rPr>
                <w:sz w:val="18"/>
                <w:szCs w:val="18"/>
              </w:rPr>
              <w:t>1</w:t>
            </w:r>
            <w:r w:rsidR="00CA470C">
              <w:rPr>
                <w:sz w:val="18"/>
                <w:szCs w:val="18"/>
              </w:rPr>
              <w:t>–</w:t>
            </w:r>
            <w:r w:rsidR="00910EB3" w:rsidRPr="00910EB3">
              <w:rPr>
                <w:sz w:val="18"/>
                <w:szCs w:val="18"/>
              </w:rPr>
              <w:t>6 PM</w:t>
            </w:r>
          </w:p>
        </w:tc>
        <w:tc>
          <w:tcPr>
            <w:tcW w:w="1116" w:type="dxa"/>
            <w:tcBorders>
              <w:top w:val="single" w:sz="4" w:space="0" w:color="FFFFFF" w:themeColor="background1"/>
              <w:left w:val="single" w:sz="4" w:space="0" w:color="FFFFFF" w:themeColor="background1"/>
            </w:tcBorders>
            <w:shd w:val="clear" w:color="auto" w:fill="1F497D" w:themeFill="text2"/>
            <w:vAlign w:val="center"/>
            <w:hideMark/>
          </w:tcPr>
          <w:p w:rsidR="00910EB3" w:rsidRPr="00910EB3" w:rsidRDefault="00910EB3" w:rsidP="00B56CD1">
            <w:pPr>
              <w:pStyle w:val="TableHeader"/>
            </w:pPr>
            <w:r w:rsidRPr="00910EB3">
              <w:t>(°F)</w:t>
            </w:r>
          </w:p>
        </w:tc>
      </w:tr>
      <w:tr w:rsidR="00910EB3" w:rsidRPr="00910EB3" w:rsidTr="00DE74BB">
        <w:trPr>
          <w:trHeight w:val="300"/>
        </w:trPr>
        <w:tc>
          <w:tcPr>
            <w:tcW w:w="1006" w:type="dxa"/>
            <w:vMerge w:val="restart"/>
            <w:shd w:val="clear" w:color="auto" w:fill="auto"/>
            <w:vAlign w:val="center"/>
            <w:hideMark/>
          </w:tcPr>
          <w:p w:rsidR="00910EB3" w:rsidRPr="00910EB3" w:rsidRDefault="00910EB3" w:rsidP="00B56CD1">
            <w:pPr>
              <w:pStyle w:val="TableText"/>
            </w:pPr>
            <w:r w:rsidRPr="00910EB3">
              <w:t>1-in-10 August System Peak Day</w:t>
            </w:r>
          </w:p>
        </w:tc>
        <w:tc>
          <w:tcPr>
            <w:tcW w:w="905" w:type="dxa"/>
            <w:shd w:val="clear" w:color="auto" w:fill="auto"/>
            <w:noWrap/>
            <w:vAlign w:val="center"/>
            <w:hideMark/>
          </w:tcPr>
          <w:p w:rsidR="00910EB3" w:rsidRPr="00910EB3" w:rsidRDefault="00910EB3" w:rsidP="001965D0">
            <w:pPr>
              <w:pStyle w:val="TableText"/>
            </w:pPr>
            <w:r w:rsidRPr="00910EB3">
              <w:t>2012</w:t>
            </w:r>
          </w:p>
        </w:tc>
        <w:tc>
          <w:tcPr>
            <w:tcW w:w="1339" w:type="dxa"/>
            <w:shd w:val="clear" w:color="auto" w:fill="auto"/>
            <w:noWrap/>
            <w:vAlign w:val="center"/>
            <w:hideMark/>
          </w:tcPr>
          <w:p w:rsidR="00910EB3" w:rsidRPr="00910EB3" w:rsidRDefault="00910EB3" w:rsidP="001965D0">
            <w:pPr>
              <w:pStyle w:val="TableText"/>
            </w:pPr>
            <w:r w:rsidRPr="00910EB3">
              <w:t>2,898</w:t>
            </w:r>
          </w:p>
        </w:tc>
        <w:tc>
          <w:tcPr>
            <w:tcW w:w="1184" w:type="dxa"/>
            <w:shd w:val="clear" w:color="auto" w:fill="auto"/>
            <w:noWrap/>
            <w:vAlign w:val="center"/>
            <w:hideMark/>
          </w:tcPr>
          <w:p w:rsidR="00910EB3" w:rsidRPr="00910EB3" w:rsidRDefault="00910EB3" w:rsidP="001965D0">
            <w:pPr>
              <w:pStyle w:val="TableText"/>
            </w:pPr>
            <w:r w:rsidRPr="00910EB3">
              <w:t>633.4</w:t>
            </w:r>
          </w:p>
        </w:tc>
        <w:tc>
          <w:tcPr>
            <w:tcW w:w="1172" w:type="dxa"/>
            <w:shd w:val="clear" w:color="auto" w:fill="auto"/>
            <w:noWrap/>
            <w:vAlign w:val="center"/>
            <w:hideMark/>
          </w:tcPr>
          <w:p w:rsidR="00910EB3" w:rsidRPr="00910EB3" w:rsidRDefault="00910EB3" w:rsidP="001965D0">
            <w:pPr>
              <w:pStyle w:val="TableText"/>
            </w:pPr>
            <w:r w:rsidRPr="00910EB3">
              <w:t>617.0</w:t>
            </w:r>
          </w:p>
        </w:tc>
        <w:tc>
          <w:tcPr>
            <w:tcW w:w="960" w:type="dxa"/>
            <w:shd w:val="clear" w:color="auto" w:fill="auto"/>
            <w:noWrap/>
            <w:vAlign w:val="center"/>
            <w:hideMark/>
          </w:tcPr>
          <w:p w:rsidR="00910EB3" w:rsidRPr="00910EB3" w:rsidRDefault="00910EB3" w:rsidP="001965D0">
            <w:pPr>
              <w:pStyle w:val="TableText"/>
            </w:pPr>
            <w:r w:rsidRPr="00910EB3">
              <w:t>16.4</w:t>
            </w:r>
          </w:p>
        </w:tc>
        <w:tc>
          <w:tcPr>
            <w:tcW w:w="1194" w:type="dxa"/>
            <w:shd w:val="clear" w:color="auto" w:fill="auto"/>
            <w:noWrap/>
            <w:vAlign w:val="center"/>
            <w:hideMark/>
          </w:tcPr>
          <w:p w:rsidR="00910EB3" w:rsidRPr="00910EB3" w:rsidRDefault="00910EB3" w:rsidP="001965D0">
            <w:pPr>
              <w:pStyle w:val="TableText"/>
            </w:pPr>
            <w:r w:rsidRPr="00910EB3">
              <w:t>2.60%</w:t>
            </w:r>
          </w:p>
        </w:tc>
        <w:tc>
          <w:tcPr>
            <w:tcW w:w="1116" w:type="dxa"/>
            <w:shd w:val="clear" w:color="auto" w:fill="auto"/>
            <w:noWrap/>
            <w:vAlign w:val="center"/>
            <w:hideMark/>
          </w:tcPr>
          <w:p w:rsidR="00910EB3" w:rsidRPr="00910EB3" w:rsidRDefault="00910EB3" w:rsidP="001965D0">
            <w:pPr>
              <w:pStyle w:val="TableText"/>
            </w:pPr>
            <w:r w:rsidRPr="00910EB3">
              <w:t>95.4</w:t>
            </w:r>
          </w:p>
        </w:tc>
      </w:tr>
      <w:tr w:rsidR="00910EB3" w:rsidRPr="00910EB3" w:rsidTr="00DE74BB">
        <w:trPr>
          <w:trHeight w:val="300"/>
        </w:trPr>
        <w:tc>
          <w:tcPr>
            <w:tcW w:w="1006" w:type="dxa"/>
            <w:vMerge/>
            <w:vAlign w:val="center"/>
            <w:hideMark/>
          </w:tcPr>
          <w:p w:rsidR="00910EB3" w:rsidRPr="00910EB3" w:rsidRDefault="00910EB3" w:rsidP="00B56CD1">
            <w:pPr>
              <w:pStyle w:val="TableText"/>
            </w:pPr>
          </w:p>
        </w:tc>
        <w:tc>
          <w:tcPr>
            <w:tcW w:w="905" w:type="dxa"/>
            <w:shd w:val="clear" w:color="auto" w:fill="auto"/>
            <w:noWrap/>
            <w:vAlign w:val="center"/>
            <w:hideMark/>
          </w:tcPr>
          <w:p w:rsidR="00910EB3" w:rsidRPr="00910EB3" w:rsidRDefault="00910EB3" w:rsidP="001965D0">
            <w:pPr>
              <w:pStyle w:val="TableText"/>
            </w:pPr>
            <w:r w:rsidRPr="00910EB3">
              <w:t>2013</w:t>
            </w:r>
          </w:p>
        </w:tc>
        <w:tc>
          <w:tcPr>
            <w:tcW w:w="1339" w:type="dxa"/>
            <w:shd w:val="clear" w:color="auto" w:fill="auto"/>
            <w:noWrap/>
            <w:vAlign w:val="center"/>
            <w:hideMark/>
          </w:tcPr>
          <w:p w:rsidR="00910EB3" w:rsidRPr="00910EB3" w:rsidRDefault="00910EB3" w:rsidP="001965D0">
            <w:pPr>
              <w:pStyle w:val="TableText"/>
            </w:pPr>
            <w:r w:rsidRPr="00910EB3">
              <w:t>3,068</w:t>
            </w:r>
          </w:p>
        </w:tc>
        <w:tc>
          <w:tcPr>
            <w:tcW w:w="1184" w:type="dxa"/>
            <w:shd w:val="clear" w:color="auto" w:fill="auto"/>
            <w:noWrap/>
            <w:vAlign w:val="center"/>
            <w:hideMark/>
          </w:tcPr>
          <w:p w:rsidR="00910EB3" w:rsidRPr="00910EB3" w:rsidRDefault="00910EB3" w:rsidP="001965D0">
            <w:pPr>
              <w:pStyle w:val="TableText"/>
            </w:pPr>
            <w:r w:rsidRPr="00910EB3">
              <w:t>670.7</w:t>
            </w:r>
          </w:p>
        </w:tc>
        <w:tc>
          <w:tcPr>
            <w:tcW w:w="1172" w:type="dxa"/>
            <w:shd w:val="clear" w:color="auto" w:fill="auto"/>
            <w:noWrap/>
            <w:vAlign w:val="center"/>
            <w:hideMark/>
          </w:tcPr>
          <w:p w:rsidR="00910EB3" w:rsidRPr="00910EB3" w:rsidRDefault="00910EB3" w:rsidP="001965D0">
            <w:pPr>
              <w:pStyle w:val="TableText"/>
            </w:pPr>
            <w:r w:rsidRPr="00910EB3">
              <w:t>653.3</w:t>
            </w:r>
          </w:p>
        </w:tc>
        <w:tc>
          <w:tcPr>
            <w:tcW w:w="960" w:type="dxa"/>
            <w:shd w:val="clear" w:color="auto" w:fill="auto"/>
            <w:noWrap/>
            <w:vAlign w:val="center"/>
            <w:hideMark/>
          </w:tcPr>
          <w:p w:rsidR="00910EB3" w:rsidRPr="00910EB3" w:rsidRDefault="00910EB3" w:rsidP="001965D0">
            <w:pPr>
              <w:pStyle w:val="TableText"/>
            </w:pPr>
            <w:r w:rsidRPr="00910EB3">
              <w:t>17.4</w:t>
            </w:r>
          </w:p>
        </w:tc>
        <w:tc>
          <w:tcPr>
            <w:tcW w:w="1194" w:type="dxa"/>
            <w:shd w:val="clear" w:color="auto" w:fill="auto"/>
            <w:noWrap/>
            <w:vAlign w:val="center"/>
            <w:hideMark/>
          </w:tcPr>
          <w:p w:rsidR="00910EB3" w:rsidRPr="00910EB3" w:rsidRDefault="00910EB3" w:rsidP="001965D0">
            <w:pPr>
              <w:pStyle w:val="TableText"/>
            </w:pPr>
            <w:r w:rsidRPr="00910EB3">
              <w:t>2.60%</w:t>
            </w:r>
          </w:p>
        </w:tc>
        <w:tc>
          <w:tcPr>
            <w:tcW w:w="1116" w:type="dxa"/>
            <w:shd w:val="clear" w:color="auto" w:fill="auto"/>
            <w:noWrap/>
            <w:vAlign w:val="center"/>
            <w:hideMark/>
          </w:tcPr>
          <w:p w:rsidR="00910EB3" w:rsidRPr="00910EB3" w:rsidRDefault="00910EB3" w:rsidP="001965D0">
            <w:pPr>
              <w:pStyle w:val="TableText"/>
            </w:pPr>
            <w:r w:rsidRPr="00910EB3">
              <w:t>95.4</w:t>
            </w:r>
          </w:p>
        </w:tc>
      </w:tr>
      <w:tr w:rsidR="00910EB3" w:rsidRPr="00910EB3" w:rsidTr="00DE74BB">
        <w:trPr>
          <w:trHeight w:val="300"/>
        </w:trPr>
        <w:tc>
          <w:tcPr>
            <w:tcW w:w="1006" w:type="dxa"/>
            <w:vMerge/>
            <w:vAlign w:val="center"/>
            <w:hideMark/>
          </w:tcPr>
          <w:p w:rsidR="00910EB3" w:rsidRPr="00910EB3" w:rsidRDefault="00910EB3" w:rsidP="00B56CD1">
            <w:pPr>
              <w:pStyle w:val="TableText"/>
            </w:pPr>
          </w:p>
        </w:tc>
        <w:tc>
          <w:tcPr>
            <w:tcW w:w="905" w:type="dxa"/>
            <w:shd w:val="clear" w:color="auto" w:fill="auto"/>
            <w:noWrap/>
            <w:vAlign w:val="center"/>
            <w:hideMark/>
          </w:tcPr>
          <w:p w:rsidR="00910EB3" w:rsidRPr="00910EB3" w:rsidRDefault="00910EB3" w:rsidP="001965D0">
            <w:pPr>
              <w:pStyle w:val="TableText"/>
            </w:pPr>
            <w:r w:rsidRPr="00910EB3">
              <w:t>2014</w:t>
            </w:r>
          </w:p>
        </w:tc>
        <w:tc>
          <w:tcPr>
            <w:tcW w:w="1339" w:type="dxa"/>
            <w:shd w:val="clear" w:color="auto" w:fill="auto"/>
            <w:noWrap/>
            <w:vAlign w:val="center"/>
            <w:hideMark/>
          </w:tcPr>
          <w:p w:rsidR="00910EB3" w:rsidRPr="00910EB3" w:rsidRDefault="00910EB3" w:rsidP="001965D0">
            <w:pPr>
              <w:pStyle w:val="TableText"/>
            </w:pPr>
            <w:r w:rsidRPr="00910EB3">
              <w:t>3,099</w:t>
            </w:r>
          </w:p>
        </w:tc>
        <w:tc>
          <w:tcPr>
            <w:tcW w:w="1184" w:type="dxa"/>
            <w:shd w:val="clear" w:color="auto" w:fill="auto"/>
            <w:noWrap/>
            <w:vAlign w:val="center"/>
            <w:hideMark/>
          </w:tcPr>
          <w:p w:rsidR="00910EB3" w:rsidRPr="00910EB3" w:rsidRDefault="00910EB3" w:rsidP="001965D0">
            <w:pPr>
              <w:pStyle w:val="TableText"/>
            </w:pPr>
            <w:r w:rsidRPr="00910EB3">
              <w:t>677.4</w:t>
            </w:r>
          </w:p>
        </w:tc>
        <w:tc>
          <w:tcPr>
            <w:tcW w:w="1172" w:type="dxa"/>
            <w:shd w:val="clear" w:color="auto" w:fill="auto"/>
            <w:noWrap/>
            <w:vAlign w:val="center"/>
            <w:hideMark/>
          </w:tcPr>
          <w:p w:rsidR="00910EB3" w:rsidRPr="00910EB3" w:rsidRDefault="00910EB3" w:rsidP="001965D0">
            <w:pPr>
              <w:pStyle w:val="TableText"/>
            </w:pPr>
            <w:r w:rsidRPr="00910EB3">
              <w:t>659.8</w:t>
            </w:r>
          </w:p>
        </w:tc>
        <w:tc>
          <w:tcPr>
            <w:tcW w:w="960" w:type="dxa"/>
            <w:shd w:val="clear" w:color="auto" w:fill="auto"/>
            <w:noWrap/>
            <w:vAlign w:val="center"/>
            <w:hideMark/>
          </w:tcPr>
          <w:p w:rsidR="00910EB3" w:rsidRPr="00910EB3" w:rsidRDefault="00910EB3" w:rsidP="001965D0">
            <w:pPr>
              <w:pStyle w:val="TableText"/>
            </w:pPr>
            <w:r w:rsidRPr="00910EB3">
              <w:t>17.6</w:t>
            </w:r>
          </w:p>
        </w:tc>
        <w:tc>
          <w:tcPr>
            <w:tcW w:w="1194" w:type="dxa"/>
            <w:shd w:val="clear" w:color="auto" w:fill="auto"/>
            <w:noWrap/>
            <w:vAlign w:val="center"/>
            <w:hideMark/>
          </w:tcPr>
          <w:p w:rsidR="00910EB3" w:rsidRPr="00910EB3" w:rsidRDefault="00910EB3" w:rsidP="001965D0">
            <w:pPr>
              <w:pStyle w:val="TableText"/>
            </w:pPr>
            <w:r w:rsidRPr="00910EB3">
              <w:t>2.60%</w:t>
            </w:r>
          </w:p>
        </w:tc>
        <w:tc>
          <w:tcPr>
            <w:tcW w:w="1116" w:type="dxa"/>
            <w:shd w:val="clear" w:color="auto" w:fill="auto"/>
            <w:noWrap/>
            <w:vAlign w:val="center"/>
            <w:hideMark/>
          </w:tcPr>
          <w:p w:rsidR="00910EB3" w:rsidRPr="00910EB3" w:rsidRDefault="00910EB3" w:rsidP="001965D0">
            <w:pPr>
              <w:pStyle w:val="TableText"/>
            </w:pPr>
            <w:r w:rsidRPr="00910EB3">
              <w:t>95.4</w:t>
            </w:r>
          </w:p>
        </w:tc>
      </w:tr>
      <w:tr w:rsidR="00910EB3" w:rsidRPr="00910EB3" w:rsidTr="00DE74BB">
        <w:trPr>
          <w:trHeight w:val="300"/>
        </w:trPr>
        <w:tc>
          <w:tcPr>
            <w:tcW w:w="1006" w:type="dxa"/>
            <w:vMerge/>
            <w:vAlign w:val="center"/>
            <w:hideMark/>
          </w:tcPr>
          <w:p w:rsidR="00910EB3" w:rsidRPr="00910EB3" w:rsidRDefault="00910EB3" w:rsidP="00B56CD1">
            <w:pPr>
              <w:pStyle w:val="TableText"/>
            </w:pPr>
          </w:p>
        </w:tc>
        <w:tc>
          <w:tcPr>
            <w:tcW w:w="905" w:type="dxa"/>
            <w:shd w:val="clear" w:color="auto" w:fill="auto"/>
            <w:noWrap/>
            <w:vAlign w:val="center"/>
            <w:hideMark/>
          </w:tcPr>
          <w:p w:rsidR="00910EB3" w:rsidRPr="00910EB3" w:rsidRDefault="00910EB3" w:rsidP="001965D0">
            <w:pPr>
              <w:pStyle w:val="TableText"/>
            </w:pPr>
            <w:r w:rsidRPr="00910EB3">
              <w:t>2015</w:t>
            </w:r>
          </w:p>
        </w:tc>
        <w:tc>
          <w:tcPr>
            <w:tcW w:w="1339" w:type="dxa"/>
            <w:shd w:val="clear" w:color="auto" w:fill="auto"/>
            <w:noWrap/>
            <w:vAlign w:val="center"/>
            <w:hideMark/>
          </w:tcPr>
          <w:p w:rsidR="00910EB3" w:rsidRPr="00910EB3" w:rsidRDefault="00910EB3" w:rsidP="001965D0">
            <w:pPr>
              <w:pStyle w:val="TableText"/>
            </w:pPr>
            <w:r w:rsidRPr="00910EB3">
              <w:t>3,130</w:t>
            </w:r>
          </w:p>
        </w:tc>
        <w:tc>
          <w:tcPr>
            <w:tcW w:w="1184" w:type="dxa"/>
            <w:shd w:val="clear" w:color="auto" w:fill="auto"/>
            <w:noWrap/>
            <w:vAlign w:val="center"/>
            <w:hideMark/>
          </w:tcPr>
          <w:p w:rsidR="00910EB3" w:rsidRPr="00910EB3" w:rsidRDefault="00910EB3" w:rsidP="001965D0">
            <w:pPr>
              <w:pStyle w:val="TableText"/>
            </w:pPr>
            <w:r w:rsidRPr="00910EB3">
              <w:t>684.2</w:t>
            </w:r>
          </w:p>
        </w:tc>
        <w:tc>
          <w:tcPr>
            <w:tcW w:w="1172" w:type="dxa"/>
            <w:shd w:val="clear" w:color="auto" w:fill="auto"/>
            <w:noWrap/>
            <w:vAlign w:val="center"/>
            <w:hideMark/>
          </w:tcPr>
          <w:p w:rsidR="00910EB3" w:rsidRPr="00910EB3" w:rsidRDefault="00910EB3" w:rsidP="001965D0">
            <w:pPr>
              <w:pStyle w:val="TableText"/>
            </w:pPr>
            <w:r w:rsidRPr="00910EB3">
              <w:t>666.4</w:t>
            </w:r>
          </w:p>
        </w:tc>
        <w:tc>
          <w:tcPr>
            <w:tcW w:w="960" w:type="dxa"/>
            <w:shd w:val="clear" w:color="auto" w:fill="auto"/>
            <w:noWrap/>
            <w:vAlign w:val="center"/>
            <w:hideMark/>
          </w:tcPr>
          <w:p w:rsidR="00910EB3" w:rsidRPr="00910EB3" w:rsidRDefault="00910EB3" w:rsidP="001965D0">
            <w:pPr>
              <w:pStyle w:val="TableText"/>
            </w:pPr>
            <w:r w:rsidRPr="00910EB3">
              <w:t>17.8</w:t>
            </w:r>
          </w:p>
        </w:tc>
        <w:tc>
          <w:tcPr>
            <w:tcW w:w="1194" w:type="dxa"/>
            <w:shd w:val="clear" w:color="auto" w:fill="auto"/>
            <w:noWrap/>
            <w:vAlign w:val="center"/>
            <w:hideMark/>
          </w:tcPr>
          <w:p w:rsidR="00910EB3" w:rsidRPr="00910EB3" w:rsidRDefault="00910EB3" w:rsidP="001965D0">
            <w:pPr>
              <w:pStyle w:val="TableText"/>
            </w:pPr>
            <w:r w:rsidRPr="00910EB3">
              <w:t>2.60%</w:t>
            </w:r>
          </w:p>
        </w:tc>
        <w:tc>
          <w:tcPr>
            <w:tcW w:w="1116" w:type="dxa"/>
            <w:shd w:val="clear" w:color="auto" w:fill="auto"/>
            <w:noWrap/>
            <w:vAlign w:val="center"/>
            <w:hideMark/>
          </w:tcPr>
          <w:p w:rsidR="00910EB3" w:rsidRPr="00910EB3" w:rsidRDefault="00910EB3" w:rsidP="001965D0">
            <w:pPr>
              <w:pStyle w:val="TableText"/>
            </w:pPr>
            <w:r w:rsidRPr="00910EB3">
              <w:t>95.4</w:t>
            </w:r>
          </w:p>
        </w:tc>
      </w:tr>
      <w:tr w:rsidR="00910EB3" w:rsidRPr="00910EB3" w:rsidTr="00DE74BB">
        <w:trPr>
          <w:trHeight w:val="314"/>
        </w:trPr>
        <w:tc>
          <w:tcPr>
            <w:tcW w:w="1006" w:type="dxa"/>
            <w:vMerge/>
            <w:vAlign w:val="center"/>
            <w:hideMark/>
          </w:tcPr>
          <w:p w:rsidR="00910EB3" w:rsidRPr="00910EB3" w:rsidRDefault="00910EB3" w:rsidP="00B56CD1">
            <w:pPr>
              <w:pStyle w:val="TableText"/>
            </w:pPr>
          </w:p>
        </w:tc>
        <w:tc>
          <w:tcPr>
            <w:tcW w:w="905" w:type="dxa"/>
            <w:shd w:val="clear" w:color="auto" w:fill="auto"/>
            <w:noWrap/>
            <w:vAlign w:val="center"/>
            <w:hideMark/>
          </w:tcPr>
          <w:p w:rsidR="00910EB3" w:rsidRPr="00910EB3" w:rsidRDefault="00910EB3" w:rsidP="001965D0">
            <w:pPr>
              <w:pStyle w:val="TableText"/>
            </w:pPr>
            <w:r w:rsidRPr="00910EB3">
              <w:t>2016</w:t>
            </w:r>
            <w:r w:rsidR="00CA470C">
              <w:t>–</w:t>
            </w:r>
            <w:r w:rsidRPr="00910EB3">
              <w:t>2023</w:t>
            </w:r>
          </w:p>
        </w:tc>
        <w:tc>
          <w:tcPr>
            <w:tcW w:w="1339" w:type="dxa"/>
            <w:shd w:val="clear" w:color="auto" w:fill="auto"/>
            <w:noWrap/>
            <w:vAlign w:val="center"/>
            <w:hideMark/>
          </w:tcPr>
          <w:p w:rsidR="00910EB3" w:rsidRPr="00910EB3" w:rsidRDefault="00910EB3" w:rsidP="001965D0">
            <w:pPr>
              <w:pStyle w:val="TableText"/>
            </w:pPr>
            <w:r w:rsidRPr="00910EB3">
              <w:t>3,141</w:t>
            </w:r>
          </w:p>
        </w:tc>
        <w:tc>
          <w:tcPr>
            <w:tcW w:w="1184" w:type="dxa"/>
            <w:shd w:val="clear" w:color="auto" w:fill="auto"/>
            <w:noWrap/>
            <w:vAlign w:val="center"/>
            <w:hideMark/>
          </w:tcPr>
          <w:p w:rsidR="00910EB3" w:rsidRPr="00910EB3" w:rsidRDefault="00910EB3" w:rsidP="001965D0">
            <w:pPr>
              <w:pStyle w:val="TableText"/>
            </w:pPr>
            <w:r w:rsidRPr="00910EB3">
              <w:t>686.5</w:t>
            </w:r>
          </w:p>
        </w:tc>
        <w:tc>
          <w:tcPr>
            <w:tcW w:w="1172" w:type="dxa"/>
            <w:shd w:val="clear" w:color="auto" w:fill="auto"/>
            <w:noWrap/>
            <w:vAlign w:val="center"/>
            <w:hideMark/>
          </w:tcPr>
          <w:p w:rsidR="00910EB3" w:rsidRPr="00910EB3" w:rsidRDefault="00910EB3" w:rsidP="001965D0">
            <w:pPr>
              <w:pStyle w:val="TableText"/>
            </w:pPr>
            <w:r w:rsidRPr="00910EB3">
              <w:t>668.7</w:t>
            </w:r>
          </w:p>
        </w:tc>
        <w:tc>
          <w:tcPr>
            <w:tcW w:w="960" w:type="dxa"/>
            <w:shd w:val="clear" w:color="auto" w:fill="auto"/>
            <w:noWrap/>
            <w:vAlign w:val="center"/>
            <w:hideMark/>
          </w:tcPr>
          <w:p w:rsidR="00910EB3" w:rsidRPr="00910EB3" w:rsidRDefault="00910EB3" w:rsidP="001965D0">
            <w:pPr>
              <w:pStyle w:val="TableText"/>
            </w:pPr>
            <w:r w:rsidRPr="00910EB3">
              <w:t>17.8</w:t>
            </w:r>
          </w:p>
        </w:tc>
        <w:tc>
          <w:tcPr>
            <w:tcW w:w="1194" w:type="dxa"/>
            <w:shd w:val="clear" w:color="auto" w:fill="auto"/>
            <w:noWrap/>
            <w:vAlign w:val="center"/>
            <w:hideMark/>
          </w:tcPr>
          <w:p w:rsidR="00910EB3" w:rsidRPr="00910EB3" w:rsidRDefault="00910EB3" w:rsidP="001965D0">
            <w:pPr>
              <w:pStyle w:val="TableText"/>
            </w:pPr>
            <w:r w:rsidRPr="00910EB3">
              <w:t>2.60%</w:t>
            </w:r>
          </w:p>
        </w:tc>
        <w:tc>
          <w:tcPr>
            <w:tcW w:w="1116" w:type="dxa"/>
            <w:shd w:val="clear" w:color="auto" w:fill="auto"/>
            <w:noWrap/>
            <w:vAlign w:val="center"/>
            <w:hideMark/>
          </w:tcPr>
          <w:p w:rsidR="00910EB3" w:rsidRPr="00910EB3" w:rsidRDefault="00910EB3" w:rsidP="001965D0">
            <w:pPr>
              <w:pStyle w:val="TableText"/>
            </w:pPr>
            <w:r w:rsidRPr="00910EB3">
              <w:t>95.4</w:t>
            </w:r>
          </w:p>
        </w:tc>
      </w:tr>
      <w:tr w:rsidR="00910EB3" w:rsidRPr="00910EB3" w:rsidTr="00DE74BB">
        <w:trPr>
          <w:trHeight w:val="300"/>
        </w:trPr>
        <w:tc>
          <w:tcPr>
            <w:tcW w:w="1006" w:type="dxa"/>
            <w:vMerge w:val="restart"/>
            <w:shd w:val="clear" w:color="auto" w:fill="auto"/>
            <w:vAlign w:val="center"/>
            <w:hideMark/>
          </w:tcPr>
          <w:p w:rsidR="00910EB3" w:rsidRPr="00910EB3" w:rsidRDefault="00910EB3" w:rsidP="00B56CD1">
            <w:pPr>
              <w:pStyle w:val="TableText"/>
            </w:pPr>
            <w:r w:rsidRPr="00910EB3">
              <w:t>1-in-2 August System Peak Day</w:t>
            </w:r>
          </w:p>
        </w:tc>
        <w:tc>
          <w:tcPr>
            <w:tcW w:w="905" w:type="dxa"/>
            <w:shd w:val="clear" w:color="auto" w:fill="auto"/>
            <w:noWrap/>
            <w:vAlign w:val="center"/>
            <w:hideMark/>
          </w:tcPr>
          <w:p w:rsidR="00910EB3" w:rsidRPr="00910EB3" w:rsidRDefault="00910EB3" w:rsidP="001965D0">
            <w:pPr>
              <w:pStyle w:val="TableText"/>
            </w:pPr>
            <w:r w:rsidRPr="00910EB3">
              <w:t>2012</w:t>
            </w:r>
          </w:p>
        </w:tc>
        <w:tc>
          <w:tcPr>
            <w:tcW w:w="1339" w:type="dxa"/>
            <w:shd w:val="clear" w:color="auto" w:fill="auto"/>
            <w:noWrap/>
            <w:vAlign w:val="center"/>
            <w:hideMark/>
          </w:tcPr>
          <w:p w:rsidR="00910EB3" w:rsidRPr="00910EB3" w:rsidRDefault="00910EB3" w:rsidP="001965D0">
            <w:pPr>
              <w:pStyle w:val="TableText"/>
            </w:pPr>
            <w:r w:rsidRPr="00910EB3">
              <w:t>2,898</w:t>
            </w:r>
          </w:p>
        </w:tc>
        <w:tc>
          <w:tcPr>
            <w:tcW w:w="1184" w:type="dxa"/>
            <w:shd w:val="clear" w:color="auto" w:fill="auto"/>
            <w:noWrap/>
            <w:vAlign w:val="center"/>
            <w:hideMark/>
          </w:tcPr>
          <w:p w:rsidR="00910EB3" w:rsidRPr="00910EB3" w:rsidRDefault="00910EB3" w:rsidP="001965D0">
            <w:pPr>
              <w:pStyle w:val="TableText"/>
            </w:pPr>
            <w:r w:rsidRPr="00910EB3">
              <w:t>620.0</w:t>
            </w:r>
          </w:p>
        </w:tc>
        <w:tc>
          <w:tcPr>
            <w:tcW w:w="1172" w:type="dxa"/>
            <w:shd w:val="clear" w:color="auto" w:fill="auto"/>
            <w:noWrap/>
            <w:vAlign w:val="center"/>
            <w:hideMark/>
          </w:tcPr>
          <w:p w:rsidR="00910EB3" w:rsidRPr="00910EB3" w:rsidRDefault="00910EB3" w:rsidP="001965D0">
            <w:pPr>
              <w:pStyle w:val="TableText"/>
            </w:pPr>
            <w:r w:rsidRPr="00910EB3">
              <w:t>602.7</w:t>
            </w:r>
          </w:p>
        </w:tc>
        <w:tc>
          <w:tcPr>
            <w:tcW w:w="960" w:type="dxa"/>
            <w:shd w:val="clear" w:color="auto" w:fill="auto"/>
            <w:noWrap/>
            <w:vAlign w:val="center"/>
            <w:hideMark/>
          </w:tcPr>
          <w:p w:rsidR="00910EB3" w:rsidRPr="00910EB3" w:rsidRDefault="00910EB3" w:rsidP="001965D0">
            <w:pPr>
              <w:pStyle w:val="TableText"/>
            </w:pPr>
            <w:r w:rsidRPr="00910EB3">
              <w:t>17.3</w:t>
            </w:r>
          </w:p>
        </w:tc>
        <w:tc>
          <w:tcPr>
            <w:tcW w:w="1194" w:type="dxa"/>
            <w:shd w:val="clear" w:color="auto" w:fill="auto"/>
            <w:noWrap/>
            <w:vAlign w:val="center"/>
            <w:hideMark/>
          </w:tcPr>
          <w:p w:rsidR="00910EB3" w:rsidRPr="00910EB3" w:rsidRDefault="00910EB3" w:rsidP="001965D0">
            <w:pPr>
              <w:pStyle w:val="TableText"/>
            </w:pPr>
            <w:r w:rsidRPr="00910EB3">
              <w:t>2.80%</w:t>
            </w:r>
          </w:p>
        </w:tc>
        <w:tc>
          <w:tcPr>
            <w:tcW w:w="1116" w:type="dxa"/>
            <w:shd w:val="clear" w:color="auto" w:fill="auto"/>
            <w:noWrap/>
            <w:vAlign w:val="center"/>
            <w:hideMark/>
          </w:tcPr>
          <w:p w:rsidR="00910EB3" w:rsidRPr="00910EB3" w:rsidRDefault="00910EB3" w:rsidP="001965D0">
            <w:pPr>
              <w:pStyle w:val="TableText"/>
            </w:pPr>
            <w:r w:rsidRPr="00910EB3">
              <w:t>93.5</w:t>
            </w:r>
          </w:p>
        </w:tc>
      </w:tr>
      <w:tr w:rsidR="00910EB3" w:rsidRPr="00910EB3" w:rsidTr="00DE74BB">
        <w:trPr>
          <w:trHeight w:val="300"/>
        </w:trPr>
        <w:tc>
          <w:tcPr>
            <w:tcW w:w="1006" w:type="dxa"/>
            <w:vMerge/>
            <w:vAlign w:val="center"/>
            <w:hideMark/>
          </w:tcPr>
          <w:p w:rsidR="00910EB3" w:rsidRPr="00910EB3" w:rsidRDefault="00910EB3" w:rsidP="00B56CD1">
            <w:pPr>
              <w:pStyle w:val="TableText"/>
            </w:pPr>
          </w:p>
        </w:tc>
        <w:tc>
          <w:tcPr>
            <w:tcW w:w="905" w:type="dxa"/>
            <w:shd w:val="clear" w:color="auto" w:fill="auto"/>
            <w:noWrap/>
            <w:vAlign w:val="center"/>
            <w:hideMark/>
          </w:tcPr>
          <w:p w:rsidR="00910EB3" w:rsidRPr="00910EB3" w:rsidRDefault="00910EB3" w:rsidP="001965D0">
            <w:pPr>
              <w:pStyle w:val="TableText"/>
            </w:pPr>
            <w:r w:rsidRPr="00910EB3">
              <w:t>2013</w:t>
            </w:r>
          </w:p>
        </w:tc>
        <w:tc>
          <w:tcPr>
            <w:tcW w:w="1339" w:type="dxa"/>
            <w:shd w:val="clear" w:color="auto" w:fill="auto"/>
            <w:noWrap/>
            <w:vAlign w:val="center"/>
            <w:hideMark/>
          </w:tcPr>
          <w:p w:rsidR="00910EB3" w:rsidRPr="00910EB3" w:rsidRDefault="00910EB3" w:rsidP="001965D0">
            <w:pPr>
              <w:pStyle w:val="TableText"/>
            </w:pPr>
            <w:r w:rsidRPr="00910EB3">
              <w:t>3,068</w:t>
            </w:r>
          </w:p>
        </w:tc>
        <w:tc>
          <w:tcPr>
            <w:tcW w:w="1184" w:type="dxa"/>
            <w:shd w:val="clear" w:color="auto" w:fill="auto"/>
            <w:noWrap/>
            <w:vAlign w:val="center"/>
            <w:hideMark/>
          </w:tcPr>
          <w:p w:rsidR="00910EB3" w:rsidRPr="00910EB3" w:rsidRDefault="00910EB3" w:rsidP="001965D0">
            <w:pPr>
              <w:pStyle w:val="TableText"/>
            </w:pPr>
            <w:r w:rsidRPr="00910EB3">
              <w:t>656.5</w:t>
            </w:r>
          </w:p>
        </w:tc>
        <w:tc>
          <w:tcPr>
            <w:tcW w:w="1172" w:type="dxa"/>
            <w:shd w:val="clear" w:color="auto" w:fill="auto"/>
            <w:noWrap/>
            <w:vAlign w:val="center"/>
            <w:hideMark/>
          </w:tcPr>
          <w:p w:rsidR="00910EB3" w:rsidRPr="00910EB3" w:rsidRDefault="00910EB3" w:rsidP="001965D0">
            <w:pPr>
              <w:pStyle w:val="TableText"/>
            </w:pPr>
            <w:r w:rsidRPr="00910EB3">
              <w:t>638.1</w:t>
            </w:r>
          </w:p>
        </w:tc>
        <w:tc>
          <w:tcPr>
            <w:tcW w:w="960" w:type="dxa"/>
            <w:shd w:val="clear" w:color="auto" w:fill="auto"/>
            <w:noWrap/>
            <w:vAlign w:val="center"/>
            <w:hideMark/>
          </w:tcPr>
          <w:p w:rsidR="00910EB3" w:rsidRPr="00910EB3" w:rsidRDefault="00910EB3" w:rsidP="001965D0">
            <w:pPr>
              <w:pStyle w:val="TableText"/>
            </w:pPr>
            <w:r w:rsidRPr="00910EB3">
              <w:t>18.4</w:t>
            </w:r>
          </w:p>
        </w:tc>
        <w:tc>
          <w:tcPr>
            <w:tcW w:w="1194" w:type="dxa"/>
            <w:shd w:val="clear" w:color="auto" w:fill="auto"/>
            <w:noWrap/>
            <w:vAlign w:val="center"/>
            <w:hideMark/>
          </w:tcPr>
          <w:p w:rsidR="00910EB3" w:rsidRPr="00910EB3" w:rsidRDefault="00910EB3" w:rsidP="001965D0">
            <w:pPr>
              <w:pStyle w:val="TableText"/>
            </w:pPr>
            <w:r w:rsidRPr="00910EB3">
              <w:t>2.80%</w:t>
            </w:r>
          </w:p>
        </w:tc>
        <w:tc>
          <w:tcPr>
            <w:tcW w:w="1116" w:type="dxa"/>
            <w:shd w:val="clear" w:color="auto" w:fill="auto"/>
            <w:noWrap/>
            <w:vAlign w:val="center"/>
            <w:hideMark/>
          </w:tcPr>
          <w:p w:rsidR="00910EB3" w:rsidRPr="00910EB3" w:rsidRDefault="00910EB3" w:rsidP="001965D0">
            <w:pPr>
              <w:pStyle w:val="TableText"/>
            </w:pPr>
            <w:r w:rsidRPr="00910EB3">
              <w:t>93.5</w:t>
            </w:r>
          </w:p>
        </w:tc>
      </w:tr>
      <w:tr w:rsidR="00910EB3" w:rsidRPr="00910EB3" w:rsidTr="00DE74BB">
        <w:trPr>
          <w:trHeight w:val="300"/>
        </w:trPr>
        <w:tc>
          <w:tcPr>
            <w:tcW w:w="1006" w:type="dxa"/>
            <w:vMerge/>
            <w:vAlign w:val="center"/>
            <w:hideMark/>
          </w:tcPr>
          <w:p w:rsidR="00910EB3" w:rsidRPr="00910EB3" w:rsidRDefault="00910EB3" w:rsidP="00B56CD1">
            <w:pPr>
              <w:pStyle w:val="TableText"/>
            </w:pPr>
          </w:p>
        </w:tc>
        <w:tc>
          <w:tcPr>
            <w:tcW w:w="905" w:type="dxa"/>
            <w:shd w:val="clear" w:color="auto" w:fill="auto"/>
            <w:noWrap/>
            <w:vAlign w:val="center"/>
            <w:hideMark/>
          </w:tcPr>
          <w:p w:rsidR="00910EB3" w:rsidRPr="00910EB3" w:rsidRDefault="00910EB3" w:rsidP="001965D0">
            <w:pPr>
              <w:pStyle w:val="TableText"/>
            </w:pPr>
            <w:r w:rsidRPr="00910EB3">
              <w:t>2014</w:t>
            </w:r>
          </w:p>
        </w:tc>
        <w:tc>
          <w:tcPr>
            <w:tcW w:w="1339" w:type="dxa"/>
            <w:shd w:val="clear" w:color="auto" w:fill="auto"/>
            <w:noWrap/>
            <w:vAlign w:val="center"/>
            <w:hideMark/>
          </w:tcPr>
          <w:p w:rsidR="00910EB3" w:rsidRPr="00910EB3" w:rsidRDefault="00910EB3" w:rsidP="001965D0">
            <w:pPr>
              <w:pStyle w:val="TableText"/>
            </w:pPr>
            <w:r w:rsidRPr="00910EB3">
              <w:t>3,099</w:t>
            </w:r>
          </w:p>
        </w:tc>
        <w:tc>
          <w:tcPr>
            <w:tcW w:w="1184" w:type="dxa"/>
            <w:shd w:val="clear" w:color="auto" w:fill="auto"/>
            <w:noWrap/>
            <w:vAlign w:val="center"/>
            <w:hideMark/>
          </w:tcPr>
          <w:p w:rsidR="00910EB3" w:rsidRPr="00910EB3" w:rsidRDefault="00910EB3" w:rsidP="001965D0">
            <w:pPr>
              <w:pStyle w:val="TableText"/>
            </w:pPr>
            <w:r w:rsidRPr="00910EB3">
              <w:t>663.1</w:t>
            </w:r>
          </w:p>
        </w:tc>
        <w:tc>
          <w:tcPr>
            <w:tcW w:w="1172" w:type="dxa"/>
            <w:shd w:val="clear" w:color="auto" w:fill="auto"/>
            <w:noWrap/>
            <w:vAlign w:val="center"/>
            <w:hideMark/>
          </w:tcPr>
          <w:p w:rsidR="00910EB3" w:rsidRPr="00910EB3" w:rsidRDefault="00910EB3" w:rsidP="001965D0">
            <w:pPr>
              <w:pStyle w:val="TableText"/>
            </w:pPr>
            <w:r w:rsidRPr="00910EB3">
              <w:t>644.5</w:t>
            </w:r>
          </w:p>
        </w:tc>
        <w:tc>
          <w:tcPr>
            <w:tcW w:w="960" w:type="dxa"/>
            <w:shd w:val="clear" w:color="auto" w:fill="auto"/>
            <w:noWrap/>
            <w:vAlign w:val="center"/>
            <w:hideMark/>
          </w:tcPr>
          <w:p w:rsidR="00910EB3" w:rsidRPr="00910EB3" w:rsidRDefault="00910EB3" w:rsidP="001965D0">
            <w:pPr>
              <w:pStyle w:val="TableText"/>
            </w:pPr>
            <w:r w:rsidRPr="00910EB3">
              <w:t>18.6</w:t>
            </w:r>
          </w:p>
        </w:tc>
        <w:tc>
          <w:tcPr>
            <w:tcW w:w="1194" w:type="dxa"/>
            <w:shd w:val="clear" w:color="auto" w:fill="auto"/>
            <w:noWrap/>
            <w:vAlign w:val="center"/>
            <w:hideMark/>
          </w:tcPr>
          <w:p w:rsidR="00910EB3" w:rsidRPr="00910EB3" w:rsidRDefault="00910EB3" w:rsidP="001965D0">
            <w:pPr>
              <w:pStyle w:val="TableText"/>
            </w:pPr>
            <w:r w:rsidRPr="00910EB3">
              <w:t>2.80%</w:t>
            </w:r>
          </w:p>
        </w:tc>
        <w:tc>
          <w:tcPr>
            <w:tcW w:w="1116" w:type="dxa"/>
            <w:shd w:val="clear" w:color="auto" w:fill="auto"/>
            <w:noWrap/>
            <w:vAlign w:val="center"/>
            <w:hideMark/>
          </w:tcPr>
          <w:p w:rsidR="00910EB3" w:rsidRPr="00910EB3" w:rsidRDefault="00910EB3" w:rsidP="001965D0">
            <w:pPr>
              <w:pStyle w:val="TableText"/>
            </w:pPr>
            <w:r w:rsidRPr="00910EB3">
              <w:t>93.5</w:t>
            </w:r>
          </w:p>
        </w:tc>
      </w:tr>
      <w:tr w:rsidR="00910EB3" w:rsidRPr="00910EB3" w:rsidTr="00DE74BB">
        <w:trPr>
          <w:trHeight w:val="300"/>
        </w:trPr>
        <w:tc>
          <w:tcPr>
            <w:tcW w:w="1006" w:type="dxa"/>
            <w:vMerge/>
            <w:vAlign w:val="center"/>
            <w:hideMark/>
          </w:tcPr>
          <w:p w:rsidR="00910EB3" w:rsidRPr="00910EB3" w:rsidRDefault="00910EB3" w:rsidP="00B56CD1">
            <w:pPr>
              <w:pStyle w:val="TableText"/>
            </w:pPr>
          </w:p>
        </w:tc>
        <w:tc>
          <w:tcPr>
            <w:tcW w:w="905" w:type="dxa"/>
            <w:shd w:val="clear" w:color="auto" w:fill="auto"/>
            <w:noWrap/>
            <w:vAlign w:val="center"/>
            <w:hideMark/>
          </w:tcPr>
          <w:p w:rsidR="00910EB3" w:rsidRPr="00910EB3" w:rsidRDefault="00910EB3" w:rsidP="001965D0">
            <w:pPr>
              <w:pStyle w:val="TableText"/>
            </w:pPr>
            <w:r w:rsidRPr="00910EB3">
              <w:t>2015</w:t>
            </w:r>
          </w:p>
        </w:tc>
        <w:tc>
          <w:tcPr>
            <w:tcW w:w="1339" w:type="dxa"/>
            <w:shd w:val="clear" w:color="auto" w:fill="auto"/>
            <w:noWrap/>
            <w:vAlign w:val="center"/>
            <w:hideMark/>
          </w:tcPr>
          <w:p w:rsidR="00910EB3" w:rsidRPr="00910EB3" w:rsidRDefault="00910EB3" w:rsidP="001965D0">
            <w:pPr>
              <w:pStyle w:val="TableText"/>
            </w:pPr>
            <w:r w:rsidRPr="00910EB3">
              <w:t>3,130</w:t>
            </w:r>
          </w:p>
        </w:tc>
        <w:tc>
          <w:tcPr>
            <w:tcW w:w="1184" w:type="dxa"/>
            <w:shd w:val="clear" w:color="auto" w:fill="auto"/>
            <w:noWrap/>
            <w:vAlign w:val="center"/>
            <w:hideMark/>
          </w:tcPr>
          <w:p w:rsidR="00910EB3" w:rsidRPr="00910EB3" w:rsidRDefault="00910EB3" w:rsidP="001965D0">
            <w:pPr>
              <w:pStyle w:val="TableText"/>
            </w:pPr>
            <w:r w:rsidRPr="00910EB3">
              <w:t>669.8</w:t>
            </w:r>
          </w:p>
        </w:tc>
        <w:tc>
          <w:tcPr>
            <w:tcW w:w="1172" w:type="dxa"/>
            <w:shd w:val="clear" w:color="auto" w:fill="auto"/>
            <w:noWrap/>
            <w:vAlign w:val="center"/>
            <w:hideMark/>
          </w:tcPr>
          <w:p w:rsidR="00910EB3" w:rsidRPr="00910EB3" w:rsidRDefault="00910EB3" w:rsidP="001965D0">
            <w:pPr>
              <w:pStyle w:val="TableText"/>
            </w:pPr>
            <w:r w:rsidRPr="00910EB3">
              <w:t>651.0</w:t>
            </w:r>
          </w:p>
        </w:tc>
        <w:tc>
          <w:tcPr>
            <w:tcW w:w="960" w:type="dxa"/>
            <w:shd w:val="clear" w:color="auto" w:fill="auto"/>
            <w:noWrap/>
            <w:vAlign w:val="center"/>
            <w:hideMark/>
          </w:tcPr>
          <w:p w:rsidR="00910EB3" w:rsidRPr="00910EB3" w:rsidRDefault="00910EB3" w:rsidP="001965D0">
            <w:pPr>
              <w:pStyle w:val="TableText"/>
            </w:pPr>
            <w:r w:rsidRPr="00910EB3">
              <w:t>18.7</w:t>
            </w:r>
          </w:p>
        </w:tc>
        <w:tc>
          <w:tcPr>
            <w:tcW w:w="1194" w:type="dxa"/>
            <w:shd w:val="clear" w:color="auto" w:fill="auto"/>
            <w:noWrap/>
            <w:vAlign w:val="center"/>
            <w:hideMark/>
          </w:tcPr>
          <w:p w:rsidR="00910EB3" w:rsidRPr="00910EB3" w:rsidRDefault="00910EB3" w:rsidP="001965D0">
            <w:pPr>
              <w:pStyle w:val="TableText"/>
            </w:pPr>
            <w:r w:rsidRPr="00910EB3">
              <w:t>2.80%</w:t>
            </w:r>
          </w:p>
        </w:tc>
        <w:tc>
          <w:tcPr>
            <w:tcW w:w="1116" w:type="dxa"/>
            <w:shd w:val="clear" w:color="auto" w:fill="auto"/>
            <w:noWrap/>
            <w:vAlign w:val="center"/>
            <w:hideMark/>
          </w:tcPr>
          <w:p w:rsidR="00910EB3" w:rsidRPr="00910EB3" w:rsidRDefault="00910EB3" w:rsidP="001965D0">
            <w:pPr>
              <w:pStyle w:val="TableText"/>
            </w:pPr>
            <w:r w:rsidRPr="00910EB3">
              <w:t>93.5</w:t>
            </w:r>
          </w:p>
        </w:tc>
      </w:tr>
      <w:tr w:rsidR="00910EB3" w:rsidRPr="00910EB3" w:rsidTr="00DE74BB">
        <w:trPr>
          <w:trHeight w:val="300"/>
        </w:trPr>
        <w:tc>
          <w:tcPr>
            <w:tcW w:w="1006" w:type="dxa"/>
            <w:vMerge/>
            <w:vAlign w:val="center"/>
            <w:hideMark/>
          </w:tcPr>
          <w:p w:rsidR="00910EB3" w:rsidRPr="00910EB3" w:rsidRDefault="00910EB3" w:rsidP="00B56CD1">
            <w:pPr>
              <w:pStyle w:val="TableText"/>
            </w:pPr>
          </w:p>
        </w:tc>
        <w:tc>
          <w:tcPr>
            <w:tcW w:w="905" w:type="dxa"/>
            <w:shd w:val="clear" w:color="auto" w:fill="auto"/>
            <w:noWrap/>
            <w:vAlign w:val="center"/>
            <w:hideMark/>
          </w:tcPr>
          <w:p w:rsidR="00910EB3" w:rsidRPr="00910EB3" w:rsidRDefault="00910EB3" w:rsidP="001965D0">
            <w:pPr>
              <w:pStyle w:val="TableText"/>
            </w:pPr>
            <w:r w:rsidRPr="00910EB3">
              <w:t>2016</w:t>
            </w:r>
            <w:r w:rsidR="00CA470C">
              <w:t>–</w:t>
            </w:r>
            <w:r w:rsidRPr="00910EB3">
              <w:t>2023</w:t>
            </w:r>
          </w:p>
        </w:tc>
        <w:tc>
          <w:tcPr>
            <w:tcW w:w="1339" w:type="dxa"/>
            <w:shd w:val="clear" w:color="auto" w:fill="auto"/>
            <w:noWrap/>
            <w:vAlign w:val="center"/>
            <w:hideMark/>
          </w:tcPr>
          <w:p w:rsidR="00910EB3" w:rsidRPr="00910EB3" w:rsidRDefault="00910EB3" w:rsidP="001965D0">
            <w:pPr>
              <w:pStyle w:val="TableText"/>
            </w:pPr>
            <w:r w:rsidRPr="00910EB3">
              <w:t>3,141</w:t>
            </w:r>
          </w:p>
        </w:tc>
        <w:tc>
          <w:tcPr>
            <w:tcW w:w="1184" w:type="dxa"/>
            <w:shd w:val="clear" w:color="auto" w:fill="auto"/>
            <w:noWrap/>
            <w:vAlign w:val="center"/>
            <w:hideMark/>
          </w:tcPr>
          <w:p w:rsidR="00910EB3" w:rsidRPr="00910EB3" w:rsidRDefault="00910EB3" w:rsidP="001965D0">
            <w:pPr>
              <w:pStyle w:val="TableText"/>
            </w:pPr>
            <w:r w:rsidRPr="00910EB3">
              <w:t>672.0</w:t>
            </w:r>
          </w:p>
        </w:tc>
        <w:tc>
          <w:tcPr>
            <w:tcW w:w="1172" w:type="dxa"/>
            <w:shd w:val="clear" w:color="auto" w:fill="auto"/>
            <w:noWrap/>
            <w:vAlign w:val="center"/>
            <w:hideMark/>
          </w:tcPr>
          <w:p w:rsidR="00910EB3" w:rsidRPr="00910EB3" w:rsidRDefault="00910EB3" w:rsidP="001965D0">
            <w:pPr>
              <w:pStyle w:val="TableText"/>
            </w:pPr>
            <w:r w:rsidRPr="00910EB3">
              <w:t>653.2</w:t>
            </w:r>
          </w:p>
        </w:tc>
        <w:tc>
          <w:tcPr>
            <w:tcW w:w="960" w:type="dxa"/>
            <w:shd w:val="clear" w:color="auto" w:fill="auto"/>
            <w:noWrap/>
            <w:vAlign w:val="center"/>
            <w:hideMark/>
          </w:tcPr>
          <w:p w:rsidR="00910EB3" w:rsidRPr="00910EB3" w:rsidRDefault="00910EB3" w:rsidP="001965D0">
            <w:pPr>
              <w:pStyle w:val="TableText"/>
            </w:pPr>
            <w:r w:rsidRPr="00910EB3">
              <w:t>18.8</w:t>
            </w:r>
          </w:p>
        </w:tc>
        <w:tc>
          <w:tcPr>
            <w:tcW w:w="1194" w:type="dxa"/>
            <w:shd w:val="clear" w:color="auto" w:fill="auto"/>
            <w:noWrap/>
            <w:vAlign w:val="center"/>
            <w:hideMark/>
          </w:tcPr>
          <w:p w:rsidR="00910EB3" w:rsidRPr="00910EB3" w:rsidRDefault="00910EB3" w:rsidP="001965D0">
            <w:pPr>
              <w:pStyle w:val="TableText"/>
            </w:pPr>
            <w:r w:rsidRPr="00910EB3">
              <w:t>2.80%</w:t>
            </w:r>
          </w:p>
        </w:tc>
        <w:tc>
          <w:tcPr>
            <w:tcW w:w="1116" w:type="dxa"/>
            <w:shd w:val="clear" w:color="auto" w:fill="auto"/>
            <w:noWrap/>
            <w:vAlign w:val="center"/>
            <w:hideMark/>
          </w:tcPr>
          <w:p w:rsidR="00910EB3" w:rsidRPr="00910EB3" w:rsidRDefault="00910EB3" w:rsidP="001965D0">
            <w:pPr>
              <w:pStyle w:val="TableText"/>
            </w:pPr>
            <w:r w:rsidRPr="00910EB3">
              <w:t>93.5</w:t>
            </w:r>
          </w:p>
        </w:tc>
      </w:tr>
    </w:tbl>
    <w:p w:rsidR="00B56CD1" w:rsidRPr="00B56CD1" w:rsidRDefault="00B56CD1" w:rsidP="00B56CD1">
      <w:pPr>
        <w:pStyle w:val="TableFigureCaption"/>
        <w:spacing w:before="360"/>
      </w:pPr>
      <w:r>
        <w:br w:type="page"/>
      </w:r>
    </w:p>
    <w:p w:rsidR="002C32AA" w:rsidRDefault="00B56CD1" w:rsidP="00B56CD1">
      <w:pPr>
        <w:pStyle w:val="TableFigureCaption"/>
        <w:spacing w:before="360"/>
      </w:pPr>
      <w:r>
        <w:lastRenderedPageBreak/>
        <w:t>T</w:t>
      </w:r>
      <w:r w:rsidR="00DA41F5">
        <w:t>able D</w:t>
      </w:r>
      <w:r w:rsidR="002C32AA">
        <w:t>-4:</w:t>
      </w:r>
      <w:r w:rsidR="00E640AA">
        <w:t xml:space="preserve"> </w:t>
      </w:r>
      <w:r w:rsidR="002C32AA">
        <w:t xml:space="preserve">SDG&amp;E August Peak Day CPP Portfolio Load Impacts for Large Customers </w:t>
      </w:r>
      <w:r w:rsidR="002C32AA">
        <w:br/>
        <w:t>(Hourly Average Reduction in MW Over Event Day Period 1</w:t>
      </w:r>
      <w:r w:rsidR="00CA470C">
        <w:t>–</w:t>
      </w:r>
      <w:r w:rsidR="002C32AA">
        <w:t>6 PM)</w:t>
      </w:r>
    </w:p>
    <w:tbl>
      <w:tblPr>
        <w:tblW w:w="9180" w:type="dxa"/>
        <w:tblInd w:w="93" w:type="dxa"/>
        <w:tblLook w:val="04A0" w:firstRow="1" w:lastRow="0" w:firstColumn="1" w:lastColumn="0" w:noHBand="0" w:noVBand="1"/>
      </w:tblPr>
      <w:tblGrid>
        <w:gridCol w:w="960"/>
        <w:gridCol w:w="960"/>
        <w:gridCol w:w="1100"/>
        <w:gridCol w:w="1340"/>
        <w:gridCol w:w="1240"/>
        <w:gridCol w:w="1200"/>
        <w:gridCol w:w="1160"/>
        <w:gridCol w:w="1220"/>
      </w:tblGrid>
      <w:tr w:rsidR="00B057E7" w:rsidRPr="0035730B" w:rsidTr="0035730B">
        <w:trPr>
          <w:trHeight w:val="900"/>
        </w:trPr>
        <w:tc>
          <w:tcPr>
            <w:tcW w:w="960" w:type="dxa"/>
            <w:vMerge w:val="restart"/>
            <w:tcBorders>
              <w:top w:val="single" w:sz="4" w:space="0" w:color="auto"/>
              <w:left w:val="single" w:sz="4" w:space="0" w:color="auto"/>
              <w:bottom w:val="single" w:sz="4" w:space="0" w:color="FFFFFF"/>
              <w:right w:val="single" w:sz="4" w:space="0" w:color="FFFFFF"/>
            </w:tcBorders>
            <w:shd w:val="clear" w:color="000000" w:fill="1F497D"/>
            <w:tcMar>
              <w:left w:w="29" w:type="dxa"/>
              <w:right w:w="29" w:type="dxa"/>
            </w:tcMar>
            <w:vAlign w:val="center"/>
            <w:hideMark/>
          </w:tcPr>
          <w:p w:rsidR="00B057E7" w:rsidRPr="0035730B" w:rsidRDefault="00B057E7" w:rsidP="00010384">
            <w:pPr>
              <w:pStyle w:val="TableHeader"/>
              <w:rPr>
                <w:rFonts w:cs="Arial"/>
                <w:sz w:val="18"/>
                <w:szCs w:val="18"/>
              </w:rPr>
            </w:pPr>
            <w:r w:rsidRPr="0035730B">
              <w:rPr>
                <w:rFonts w:cs="Arial"/>
                <w:sz w:val="18"/>
                <w:szCs w:val="18"/>
              </w:rPr>
              <w:t>Weather Year</w:t>
            </w:r>
          </w:p>
        </w:tc>
        <w:tc>
          <w:tcPr>
            <w:tcW w:w="960" w:type="dxa"/>
            <w:vMerge w:val="restart"/>
            <w:tcBorders>
              <w:top w:val="single" w:sz="4" w:space="0" w:color="auto"/>
              <w:left w:val="single" w:sz="4" w:space="0" w:color="FFFFFF"/>
              <w:bottom w:val="single" w:sz="4" w:space="0" w:color="FFFFFF"/>
              <w:right w:val="single" w:sz="4" w:space="0" w:color="FFFFFF"/>
            </w:tcBorders>
            <w:shd w:val="clear" w:color="000000" w:fill="1F497D"/>
            <w:tcMar>
              <w:left w:w="29" w:type="dxa"/>
              <w:right w:w="29" w:type="dxa"/>
            </w:tcMar>
            <w:vAlign w:val="center"/>
            <w:hideMark/>
          </w:tcPr>
          <w:p w:rsidR="00B057E7" w:rsidRPr="0035730B" w:rsidRDefault="00B057E7" w:rsidP="00010384">
            <w:pPr>
              <w:pStyle w:val="TableHeader"/>
              <w:rPr>
                <w:rFonts w:cs="Arial"/>
                <w:sz w:val="18"/>
                <w:szCs w:val="18"/>
              </w:rPr>
            </w:pPr>
            <w:r w:rsidRPr="0035730B">
              <w:rPr>
                <w:rFonts w:cs="Arial"/>
                <w:sz w:val="18"/>
                <w:szCs w:val="18"/>
              </w:rPr>
              <w:t>Year</w:t>
            </w:r>
          </w:p>
        </w:tc>
        <w:tc>
          <w:tcPr>
            <w:tcW w:w="1100" w:type="dxa"/>
            <w:vMerge w:val="restart"/>
            <w:tcBorders>
              <w:top w:val="single" w:sz="4" w:space="0" w:color="auto"/>
              <w:left w:val="single" w:sz="4" w:space="0" w:color="FFFFFF"/>
              <w:bottom w:val="single" w:sz="4" w:space="0" w:color="FFFFFF"/>
              <w:right w:val="single" w:sz="4" w:space="0" w:color="FFFFFF"/>
            </w:tcBorders>
            <w:shd w:val="clear" w:color="000000" w:fill="1F497D"/>
            <w:tcMar>
              <w:left w:w="29" w:type="dxa"/>
              <w:right w:w="29" w:type="dxa"/>
            </w:tcMar>
            <w:vAlign w:val="center"/>
            <w:hideMark/>
          </w:tcPr>
          <w:p w:rsidR="00B057E7" w:rsidRPr="0035730B" w:rsidRDefault="00B057E7" w:rsidP="00010384">
            <w:pPr>
              <w:pStyle w:val="TableHeader"/>
              <w:rPr>
                <w:rFonts w:cs="Arial"/>
                <w:sz w:val="18"/>
                <w:szCs w:val="18"/>
              </w:rPr>
            </w:pPr>
            <w:r w:rsidRPr="0035730B">
              <w:rPr>
                <w:rFonts w:cs="Arial"/>
                <w:sz w:val="18"/>
                <w:szCs w:val="18"/>
              </w:rPr>
              <w:t>Forecasted Enrolled Accounts</w:t>
            </w:r>
          </w:p>
        </w:tc>
        <w:tc>
          <w:tcPr>
            <w:tcW w:w="1340" w:type="dxa"/>
            <w:tcBorders>
              <w:top w:val="single" w:sz="4" w:space="0" w:color="auto"/>
              <w:left w:val="nil"/>
              <w:bottom w:val="single" w:sz="4" w:space="0" w:color="FFFFFF"/>
              <w:right w:val="single" w:sz="4" w:space="0" w:color="FFFFFF"/>
            </w:tcBorders>
            <w:shd w:val="clear" w:color="000000" w:fill="1F497D"/>
            <w:tcMar>
              <w:left w:w="29" w:type="dxa"/>
              <w:right w:w="29" w:type="dxa"/>
            </w:tcMar>
            <w:vAlign w:val="center"/>
            <w:hideMark/>
          </w:tcPr>
          <w:p w:rsidR="00B057E7" w:rsidRPr="0035730B" w:rsidRDefault="00B057E7" w:rsidP="00010384">
            <w:pPr>
              <w:pStyle w:val="TableHeader"/>
              <w:rPr>
                <w:rFonts w:cs="Arial"/>
                <w:sz w:val="18"/>
                <w:szCs w:val="18"/>
              </w:rPr>
            </w:pPr>
            <w:r w:rsidRPr="0035730B">
              <w:rPr>
                <w:rFonts w:cs="Arial"/>
                <w:sz w:val="18"/>
                <w:szCs w:val="18"/>
              </w:rPr>
              <w:t>Avg. Reference Load</w:t>
            </w:r>
          </w:p>
        </w:tc>
        <w:tc>
          <w:tcPr>
            <w:tcW w:w="1240" w:type="dxa"/>
            <w:tcBorders>
              <w:top w:val="single" w:sz="4" w:space="0" w:color="auto"/>
              <w:left w:val="nil"/>
              <w:bottom w:val="single" w:sz="4" w:space="0" w:color="FFFFFF"/>
              <w:right w:val="single" w:sz="4" w:space="0" w:color="FFFFFF"/>
            </w:tcBorders>
            <w:shd w:val="clear" w:color="000000" w:fill="1F497D"/>
            <w:tcMar>
              <w:left w:w="29" w:type="dxa"/>
              <w:right w:w="29" w:type="dxa"/>
            </w:tcMar>
            <w:vAlign w:val="center"/>
            <w:hideMark/>
          </w:tcPr>
          <w:p w:rsidR="00B057E7" w:rsidRPr="0035730B" w:rsidRDefault="00B057E7" w:rsidP="00010384">
            <w:pPr>
              <w:pStyle w:val="TableHeader"/>
              <w:rPr>
                <w:rFonts w:cs="Arial"/>
                <w:sz w:val="18"/>
                <w:szCs w:val="18"/>
              </w:rPr>
            </w:pPr>
            <w:r w:rsidRPr="0035730B">
              <w:rPr>
                <w:rFonts w:cs="Arial"/>
                <w:sz w:val="18"/>
                <w:szCs w:val="18"/>
              </w:rPr>
              <w:t>Avg. Estimated Load with DR</w:t>
            </w:r>
          </w:p>
        </w:tc>
        <w:tc>
          <w:tcPr>
            <w:tcW w:w="1200" w:type="dxa"/>
            <w:tcBorders>
              <w:top w:val="single" w:sz="4" w:space="0" w:color="auto"/>
              <w:left w:val="nil"/>
              <w:bottom w:val="single" w:sz="4" w:space="0" w:color="FFFFFF"/>
              <w:right w:val="single" w:sz="4" w:space="0" w:color="FFFFFF"/>
            </w:tcBorders>
            <w:shd w:val="clear" w:color="000000" w:fill="1F497D"/>
            <w:tcMar>
              <w:left w:w="29" w:type="dxa"/>
              <w:right w:w="29" w:type="dxa"/>
            </w:tcMar>
            <w:vAlign w:val="center"/>
            <w:hideMark/>
          </w:tcPr>
          <w:p w:rsidR="00B057E7" w:rsidRPr="0035730B" w:rsidRDefault="00B057E7" w:rsidP="00010384">
            <w:pPr>
              <w:pStyle w:val="TableHeader"/>
              <w:rPr>
                <w:rFonts w:cs="Arial"/>
                <w:sz w:val="18"/>
                <w:szCs w:val="18"/>
              </w:rPr>
            </w:pPr>
            <w:r w:rsidRPr="0035730B">
              <w:rPr>
                <w:rFonts w:cs="Arial"/>
                <w:sz w:val="18"/>
                <w:szCs w:val="18"/>
              </w:rPr>
              <w:t>Avg. Load Impact</w:t>
            </w:r>
          </w:p>
        </w:tc>
        <w:tc>
          <w:tcPr>
            <w:tcW w:w="1160" w:type="dxa"/>
            <w:tcBorders>
              <w:top w:val="single" w:sz="4" w:space="0" w:color="auto"/>
              <w:left w:val="nil"/>
              <w:bottom w:val="single" w:sz="4" w:space="0" w:color="FFFFFF"/>
              <w:right w:val="single" w:sz="4" w:space="0" w:color="FFFFFF"/>
            </w:tcBorders>
            <w:shd w:val="clear" w:color="000000" w:fill="1F497D"/>
            <w:tcMar>
              <w:left w:w="29" w:type="dxa"/>
              <w:right w:w="29" w:type="dxa"/>
            </w:tcMar>
            <w:vAlign w:val="center"/>
            <w:hideMark/>
          </w:tcPr>
          <w:p w:rsidR="00B057E7" w:rsidRPr="0035730B" w:rsidRDefault="00B057E7" w:rsidP="00010384">
            <w:pPr>
              <w:pStyle w:val="TableHeader"/>
              <w:rPr>
                <w:rFonts w:cs="Arial"/>
                <w:sz w:val="18"/>
                <w:szCs w:val="18"/>
              </w:rPr>
            </w:pPr>
            <w:r w:rsidRPr="0035730B">
              <w:rPr>
                <w:rFonts w:cs="Arial"/>
                <w:sz w:val="18"/>
                <w:szCs w:val="18"/>
              </w:rPr>
              <w:t>% Load Reduction</w:t>
            </w:r>
          </w:p>
        </w:tc>
        <w:tc>
          <w:tcPr>
            <w:tcW w:w="1220" w:type="dxa"/>
            <w:tcBorders>
              <w:top w:val="single" w:sz="4" w:space="0" w:color="auto"/>
              <w:left w:val="nil"/>
              <w:bottom w:val="single" w:sz="4" w:space="0" w:color="FFFFFF"/>
              <w:right w:val="single" w:sz="4" w:space="0" w:color="auto"/>
            </w:tcBorders>
            <w:shd w:val="clear" w:color="000000" w:fill="1F497D"/>
            <w:tcMar>
              <w:left w:w="29" w:type="dxa"/>
              <w:right w:w="29" w:type="dxa"/>
            </w:tcMar>
            <w:vAlign w:val="center"/>
            <w:hideMark/>
          </w:tcPr>
          <w:p w:rsidR="00B057E7" w:rsidRPr="0035730B" w:rsidRDefault="00B057E7" w:rsidP="00010384">
            <w:pPr>
              <w:pStyle w:val="TableHeader"/>
              <w:rPr>
                <w:rFonts w:cs="Arial"/>
                <w:sz w:val="18"/>
                <w:szCs w:val="18"/>
              </w:rPr>
            </w:pPr>
            <w:r w:rsidRPr="0035730B">
              <w:rPr>
                <w:rFonts w:cs="Arial"/>
                <w:sz w:val="18"/>
                <w:szCs w:val="18"/>
              </w:rPr>
              <w:t>Weighted Temp</w:t>
            </w:r>
          </w:p>
        </w:tc>
      </w:tr>
      <w:tr w:rsidR="00B057E7" w:rsidRPr="0035730B" w:rsidTr="0035730B">
        <w:trPr>
          <w:trHeight w:val="450"/>
        </w:trPr>
        <w:tc>
          <w:tcPr>
            <w:tcW w:w="960" w:type="dxa"/>
            <w:vMerge/>
            <w:tcBorders>
              <w:top w:val="single" w:sz="4" w:space="0" w:color="auto"/>
              <w:left w:val="single" w:sz="4" w:space="0" w:color="auto"/>
              <w:bottom w:val="single" w:sz="4" w:space="0" w:color="FFFFFF"/>
              <w:right w:val="single" w:sz="4" w:space="0" w:color="FFFFFF"/>
            </w:tcBorders>
            <w:tcMar>
              <w:left w:w="29" w:type="dxa"/>
              <w:right w:w="29" w:type="dxa"/>
            </w:tcMar>
            <w:vAlign w:val="center"/>
            <w:hideMark/>
          </w:tcPr>
          <w:p w:rsidR="00B057E7" w:rsidRPr="0035730B" w:rsidRDefault="00B057E7" w:rsidP="0035730B">
            <w:pPr>
              <w:spacing w:after="0" w:line="240" w:lineRule="auto"/>
              <w:rPr>
                <w:rFonts w:ascii="Arial" w:eastAsia="Times New Roman" w:hAnsi="Arial" w:cs="Arial"/>
                <w:b/>
                <w:bCs/>
                <w:color w:val="FFFFFF"/>
                <w:sz w:val="18"/>
                <w:szCs w:val="18"/>
              </w:rPr>
            </w:pPr>
          </w:p>
        </w:tc>
        <w:tc>
          <w:tcPr>
            <w:tcW w:w="960" w:type="dxa"/>
            <w:vMerge/>
            <w:tcBorders>
              <w:top w:val="single" w:sz="4" w:space="0" w:color="auto"/>
              <w:left w:val="single" w:sz="4" w:space="0" w:color="FFFFFF"/>
              <w:bottom w:val="single" w:sz="4" w:space="0" w:color="FFFFFF"/>
              <w:right w:val="single" w:sz="4" w:space="0" w:color="FFFFFF"/>
            </w:tcBorders>
            <w:tcMar>
              <w:left w:w="29" w:type="dxa"/>
              <w:right w:w="29" w:type="dxa"/>
            </w:tcMar>
            <w:vAlign w:val="center"/>
            <w:hideMark/>
          </w:tcPr>
          <w:p w:rsidR="00B057E7" w:rsidRPr="0035730B" w:rsidRDefault="00B057E7" w:rsidP="0035730B">
            <w:pPr>
              <w:spacing w:after="0" w:line="240" w:lineRule="auto"/>
              <w:rPr>
                <w:rFonts w:ascii="Arial" w:eastAsia="Times New Roman" w:hAnsi="Arial" w:cs="Arial"/>
                <w:b/>
                <w:bCs/>
                <w:color w:val="FFFFFF"/>
                <w:sz w:val="18"/>
                <w:szCs w:val="18"/>
              </w:rPr>
            </w:pPr>
          </w:p>
        </w:tc>
        <w:tc>
          <w:tcPr>
            <w:tcW w:w="1100" w:type="dxa"/>
            <w:vMerge/>
            <w:tcBorders>
              <w:top w:val="single" w:sz="4" w:space="0" w:color="auto"/>
              <w:left w:val="single" w:sz="4" w:space="0" w:color="FFFFFF"/>
              <w:bottom w:val="single" w:sz="4" w:space="0" w:color="FFFFFF"/>
              <w:right w:val="single" w:sz="4" w:space="0" w:color="FFFFFF"/>
            </w:tcBorders>
            <w:tcMar>
              <w:left w:w="29" w:type="dxa"/>
              <w:right w:w="29" w:type="dxa"/>
            </w:tcMar>
            <w:vAlign w:val="center"/>
            <w:hideMark/>
          </w:tcPr>
          <w:p w:rsidR="00B057E7" w:rsidRPr="0035730B" w:rsidRDefault="00B057E7" w:rsidP="0035730B">
            <w:pPr>
              <w:spacing w:after="0" w:line="240" w:lineRule="auto"/>
              <w:rPr>
                <w:rFonts w:ascii="Arial" w:eastAsia="Times New Roman" w:hAnsi="Arial" w:cs="Arial"/>
                <w:b/>
                <w:bCs/>
                <w:color w:val="FFFFFF"/>
                <w:sz w:val="18"/>
                <w:szCs w:val="18"/>
              </w:rPr>
            </w:pPr>
          </w:p>
        </w:tc>
        <w:tc>
          <w:tcPr>
            <w:tcW w:w="1340" w:type="dxa"/>
            <w:tcBorders>
              <w:top w:val="nil"/>
              <w:left w:val="nil"/>
              <w:bottom w:val="nil"/>
              <w:right w:val="single" w:sz="4" w:space="0" w:color="FFFFFF"/>
            </w:tcBorders>
            <w:shd w:val="clear" w:color="000000" w:fill="1F497D"/>
            <w:tcMar>
              <w:left w:w="29" w:type="dxa"/>
              <w:right w:w="29" w:type="dxa"/>
            </w:tcMar>
            <w:vAlign w:val="center"/>
            <w:hideMark/>
          </w:tcPr>
          <w:p w:rsidR="00B057E7" w:rsidRPr="0035730B" w:rsidRDefault="00B057E7" w:rsidP="0035730B">
            <w:pPr>
              <w:spacing w:after="0" w:line="240" w:lineRule="auto"/>
              <w:jc w:val="center"/>
              <w:rPr>
                <w:rFonts w:ascii="Arial" w:eastAsia="Times New Roman" w:hAnsi="Arial" w:cs="Arial"/>
                <w:b/>
                <w:bCs/>
                <w:color w:val="FFFFFF"/>
                <w:sz w:val="18"/>
                <w:szCs w:val="18"/>
              </w:rPr>
            </w:pPr>
            <w:r w:rsidRPr="0035730B">
              <w:rPr>
                <w:rFonts w:ascii="Arial" w:hAnsi="Arial" w:cs="Arial"/>
                <w:b/>
                <w:color w:val="FFFFFF" w:themeColor="background1"/>
                <w:sz w:val="18"/>
                <w:szCs w:val="18"/>
              </w:rPr>
              <w:t xml:space="preserve">MW </w:t>
            </w:r>
            <w:r w:rsidRPr="0035730B">
              <w:rPr>
                <w:rFonts w:ascii="Arial" w:hAnsi="Arial" w:cs="Arial"/>
                <w:b/>
                <w:color w:val="FFFFFF" w:themeColor="background1"/>
                <w:sz w:val="18"/>
                <w:szCs w:val="18"/>
              </w:rPr>
              <w:br/>
              <w:t>1–6 PM</w:t>
            </w:r>
          </w:p>
        </w:tc>
        <w:tc>
          <w:tcPr>
            <w:tcW w:w="1240" w:type="dxa"/>
            <w:tcBorders>
              <w:top w:val="nil"/>
              <w:left w:val="nil"/>
              <w:bottom w:val="nil"/>
              <w:right w:val="single" w:sz="4" w:space="0" w:color="FFFFFF"/>
            </w:tcBorders>
            <w:shd w:val="clear" w:color="000000" w:fill="1F497D"/>
            <w:tcMar>
              <w:left w:w="29" w:type="dxa"/>
              <w:right w:w="29" w:type="dxa"/>
            </w:tcMar>
            <w:vAlign w:val="center"/>
            <w:hideMark/>
          </w:tcPr>
          <w:p w:rsidR="00B057E7" w:rsidRPr="0035730B" w:rsidRDefault="00B057E7" w:rsidP="0035730B">
            <w:pPr>
              <w:spacing w:after="0" w:line="240" w:lineRule="auto"/>
              <w:jc w:val="center"/>
              <w:rPr>
                <w:rFonts w:ascii="Arial" w:eastAsia="Times New Roman" w:hAnsi="Arial" w:cs="Arial"/>
                <w:b/>
                <w:bCs/>
                <w:color w:val="FFFFFF"/>
                <w:sz w:val="18"/>
                <w:szCs w:val="18"/>
              </w:rPr>
            </w:pPr>
            <w:r w:rsidRPr="0035730B">
              <w:rPr>
                <w:rFonts w:ascii="Arial" w:hAnsi="Arial" w:cs="Arial"/>
                <w:b/>
                <w:color w:val="FFFFFF" w:themeColor="background1"/>
                <w:sz w:val="18"/>
                <w:szCs w:val="18"/>
              </w:rPr>
              <w:t>MW</w:t>
            </w:r>
            <w:r w:rsidRPr="0035730B">
              <w:rPr>
                <w:rFonts w:ascii="Arial" w:hAnsi="Arial" w:cs="Arial"/>
                <w:b/>
                <w:color w:val="FFFFFF" w:themeColor="background1"/>
                <w:sz w:val="18"/>
                <w:szCs w:val="18"/>
              </w:rPr>
              <w:br/>
              <w:t>1–6 PM</w:t>
            </w:r>
          </w:p>
        </w:tc>
        <w:tc>
          <w:tcPr>
            <w:tcW w:w="1200" w:type="dxa"/>
            <w:tcBorders>
              <w:top w:val="nil"/>
              <w:left w:val="nil"/>
              <w:bottom w:val="nil"/>
              <w:right w:val="single" w:sz="4" w:space="0" w:color="FFFFFF"/>
            </w:tcBorders>
            <w:shd w:val="clear" w:color="000000" w:fill="1F497D"/>
            <w:tcMar>
              <w:left w:w="29" w:type="dxa"/>
              <w:right w:w="29" w:type="dxa"/>
            </w:tcMar>
            <w:vAlign w:val="center"/>
            <w:hideMark/>
          </w:tcPr>
          <w:p w:rsidR="00B057E7" w:rsidRPr="0035730B" w:rsidRDefault="00B057E7" w:rsidP="0035730B">
            <w:pPr>
              <w:spacing w:after="0" w:line="240" w:lineRule="auto"/>
              <w:jc w:val="center"/>
              <w:rPr>
                <w:rFonts w:ascii="Arial" w:eastAsia="Times New Roman" w:hAnsi="Arial" w:cs="Arial"/>
                <w:b/>
                <w:bCs/>
                <w:color w:val="FFFFFF"/>
                <w:sz w:val="18"/>
                <w:szCs w:val="18"/>
              </w:rPr>
            </w:pPr>
            <w:r w:rsidRPr="0035730B">
              <w:rPr>
                <w:rFonts w:ascii="Arial" w:hAnsi="Arial" w:cs="Arial"/>
                <w:b/>
                <w:color w:val="FFFFFF" w:themeColor="background1"/>
                <w:sz w:val="18"/>
                <w:szCs w:val="18"/>
              </w:rPr>
              <w:t>MW</w:t>
            </w:r>
            <w:r w:rsidRPr="0035730B">
              <w:rPr>
                <w:rFonts w:ascii="Arial" w:hAnsi="Arial" w:cs="Arial"/>
                <w:b/>
                <w:color w:val="FFFFFF" w:themeColor="background1"/>
                <w:sz w:val="18"/>
                <w:szCs w:val="18"/>
              </w:rPr>
              <w:br/>
              <w:t>1–6 PM</w:t>
            </w:r>
          </w:p>
        </w:tc>
        <w:tc>
          <w:tcPr>
            <w:tcW w:w="1160" w:type="dxa"/>
            <w:tcBorders>
              <w:top w:val="nil"/>
              <w:left w:val="nil"/>
              <w:bottom w:val="nil"/>
              <w:right w:val="single" w:sz="4" w:space="0" w:color="FFFFFF"/>
            </w:tcBorders>
            <w:shd w:val="clear" w:color="000000" w:fill="1F497D"/>
            <w:tcMar>
              <w:left w:w="29" w:type="dxa"/>
              <w:right w:w="29" w:type="dxa"/>
            </w:tcMar>
            <w:vAlign w:val="center"/>
            <w:hideMark/>
          </w:tcPr>
          <w:p w:rsidR="00B057E7" w:rsidRPr="0035730B" w:rsidRDefault="00B057E7" w:rsidP="0035730B">
            <w:pPr>
              <w:spacing w:after="0" w:line="240" w:lineRule="auto"/>
              <w:jc w:val="center"/>
              <w:rPr>
                <w:rFonts w:ascii="Arial" w:eastAsia="Times New Roman" w:hAnsi="Arial" w:cs="Arial"/>
                <w:b/>
                <w:bCs/>
                <w:color w:val="FFFFFF"/>
                <w:sz w:val="18"/>
                <w:szCs w:val="18"/>
              </w:rPr>
            </w:pPr>
            <w:r w:rsidRPr="0035730B">
              <w:rPr>
                <w:rFonts w:ascii="Arial" w:hAnsi="Arial" w:cs="Arial"/>
                <w:b/>
                <w:color w:val="FFFFFF" w:themeColor="background1"/>
                <w:sz w:val="18"/>
                <w:szCs w:val="18"/>
              </w:rPr>
              <w:t>MW</w:t>
            </w:r>
            <w:r w:rsidRPr="0035730B">
              <w:rPr>
                <w:rFonts w:ascii="Arial" w:hAnsi="Arial" w:cs="Arial"/>
                <w:b/>
                <w:color w:val="FFFFFF" w:themeColor="background1"/>
                <w:sz w:val="18"/>
                <w:szCs w:val="18"/>
              </w:rPr>
              <w:br/>
              <w:t>1–6 PM</w:t>
            </w:r>
          </w:p>
        </w:tc>
        <w:tc>
          <w:tcPr>
            <w:tcW w:w="1220" w:type="dxa"/>
            <w:tcBorders>
              <w:top w:val="nil"/>
              <w:left w:val="nil"/>
              <w:bottom w:val="nil"/>
              <w:right w:val="single" w:sz="4" w:space="0" w:color="auto"/>
            </w:tcBorders>
            <w:shd w:val="clear" w:color="000000" w:fill="1F497D"/>
            <w:tcMar>
              <w:left w:w="29" w:type="dxa"/>
              <w:right w:w="29" w:type="dxa"/>
            </w:tcMar>
            <w:vAlign w:val="center"/>
            <w:hideMark/>
          </w:tcPr>
          <w:p w:rsidR="00B057E7" w:rsidRPr="0035730B" w:rsidRDefault="00B057E7" w:rsidP="0035730B">
            <w:pPr>
              <w:spacing w:after="0" w:line="240" w:lineRule="auto"/>
              <w:jc w:val="center"/>
              <w:rPr>
                <w:rFonts w:ascii="Arial" w:eastAsia="Times New Roman" w:hAnsi="Arial" w:cs="Arial"/>
                <w:b/>
                <w:bCs/>
                <w:color w:val="FFFFFF"/>
                <w:sz w:val="18"/>
                <w:szCs w:val="18"/>
              </w:rPr>
            </w:pPr>
            <w:r w:rsidRPr="0035730B">
              <w:rPr>
                <w:rFonts w:ascii="Arial" w:hAnsi="Arial" w:cs="Arial"/>
                <w:b/>
                <w:color w:val="FFFFFF" w:themeColor="background1"/>
                <w:sz w:val="18"/>
                <w:szCs w:val="18"/>
              </w:rPr>
              <w:t>(°F)</w:t>
            </w:r>
          </w:p>
        </w:tc>
      </w:tr>
      <w:tr w:rsidR="0035730B" w:rsidRPr="0035730B" w:rsidTr="00B057E7">
        <w:trPr>
          <w:trHeight w:val="346"/>
        </w:trPr>
        <w:tc>
          <w:tcPr>
            <w:tcW w:w="960" w:type="dxa"/>
            <w:vMerge w:val="restart"/>
            <w:tcBorders>
              <w:top w:val="single" w:sz="4" w:space="0" w:color="000000"/>
              <w:left w:val="single" w:sz="4" w:space="0" w:color="auto"/>
              <w:bottom w:val="nil"/>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1-in-10 August System Peak Day</w:t>
            </w:r>
          </w:p>
        </w:tc>
        <w:tc>
          <w:tcPr>
            <w:tcW w:w="960" w:type="dxa"/>
            <w:tcBorders>
              <w:top w:val="single" w:sz="4" w:space="0" w:color="000000"/>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2012</w:t>
            </w:r>
          </w:p>
        </w:tc>
        <w:tc>
          <w:tcPr>
            <w:tcW w:w="1100" w:type="dxa"/>
            <w:tcBorders>
              <w:top w:val="single" w:sz="4" w:space="0" w:color="000000"/>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1,117 </w:t>
            </w:r>
          </w:p>
        </w:tc>
        <w:tc>
          <w:tcPr>
            <w:tcW w:w="1340" w:type="dxa"/>
            <w:tcBorders>
              <w:top w:val="single" w:sz="4" w:space="0" w:color="000000"/>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301.7</w:t>
            </w:r>
          </w:p>
        </w:tc>
        <w:tc>
          <w:tcPr>
            <w:tcW w:w="1240" w:type="dxa"/>
            <w:tcBorders>
              <w:top w:val="single" w:sz="4" w:space="0" w:color="000000"/>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284.0</w:t>
            </w:r>
          </w:p>
        </w:tc>
        <w:tc>
          <w:tcPr>
            <w:tcW w:w="1200" w:type="dxa"/>
            <w:tcBorders>
              <w:top w:val="single" w:sz="4" w:space="0" w:color="000000"/>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17.7</w:t>
            </w: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5.9%</w:t>
            </w:r>
          </w:p>
        </w:tc>
        <w:tc>
          <w:tcPr>
            <w:tcW w:w="1220" w:type="dxa"/>
            <w:vMerge w:val="restart"/>
            <w:tcBorders>
              <w:top w:val="single" w:sz="4" w:space="0" w:color="000000"/>
              <w:left w:val="single" w:sz="4" w:space="0" w:color="000000"/>
              <w:bottom w:val="single" w:sz="4" w:space="0" w:color="000000"/>
              <w:right w:val="single" w:sz="4" w:space="0" w:color="auto"/>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84.4</w:t>
            </w:r>
          </w:p>
        </w:tc>
      </w:tr>
      <w:tr w:rsidR="0035730B" w:rsidRPr="0035730B" w:rsidTr="00B057E7">
        <w:trPr>
          <w:trHeight w:val="346"/>
        </w:trPr>
        <w:tc>
          <w:tcPr>
            <w:tcW w:w="960" w:type="dxa"/>
            <w:vMerge/>
            <w:tcBorders>
              <w:top w:val="single" w:sz="4" w:space="0" w:color="000000"/>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2013</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1,083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292.6</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275.4</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17.2</w:t>
            </w:r>
          </w:p>
        </w:tc>
        <w:tc>
          <w:tcPr>
            <w:tcW w:w="1160" w:type="dxa"/>
            <w:vMerge/>
            <w:tcBorders>
              <w:top w:val="single" w:sz="4" w:space="0" w:color="000000"/>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single" w:sz="4" w:space="0" w:color="000000"/>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000000"/>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2014</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1,097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296.2</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278.8</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17.4</w:t>
            </w:r>
          </w:p>
        </w:tc>
        <w:tc>
          <w:tcPr>
            <w:tcW w:w="1160" w:type="dxa"/>
            <w:vMerge/>
            <w:tcBorders>
              <w:top w:val="single" w:sz="4" w:space="0" w:color="000000"/>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single" w:sz="4" w:space="0" w:color="000000"/>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000000"/>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2015</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1,114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300.8</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283.1</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17.7</w:t>
            </w:r>
          </w:p>
        </w:tc>
        <w:tc>
          <w:tcPr>
            <w:tcW w:w="1160" w:type="dxa"/>
            <w:vMerge/>
            <w:tcBorders>
              <w:top w:val="single" w:sz="4" w:space="0" w:color="000000"/>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single" w:sz="4" w:space="0" w:color="000000"/>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000000"/>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2016</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1,128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304.7</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286.8</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17.9</w:t>
            </w:r>
          </w:p>
        </w:tc>
        <w:tc>
          <w:tcPr>
            <w:tcW w:w="1160" w:type="dxa"/>
            <w:vMerge/>
            <w:tcBorders>
              <w:top w:val="single" w:sz="4" w:space="0" w:color="000000"/>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single" w:sz="4" w:space="0" w:color="000000"/>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000000"/>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2017</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1,144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308.9</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290.7</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18.2</w:t>
            </w:r>
          </w:p>
        </w:tc>
        <w:tc>
          <w:tcPr>
            <w:tcW w:w="1160" w:type="dxa"/>
            <w:vMerge/>
            <w:tcBorders>
              <w:top w:val="single" w:sz="4" w:space="0" w:color="000000"/>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single" w:sz="4" w:space="0" w:color="000000"/>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000000"/>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2018</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1,159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313.1</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294.7</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18.4</w:t>
            </w:r>
          </w:p>
        </w:tc>
        <w:tc>
          <w:tcPr>
            <w:tcW w:w="1160" w:type="dxa"/>
            <w:vMerge/>
            <w:tcBorders>
              <w:top w:val="single" w:sz="4" w:space="0" w:color="000000"/>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single" w:sz="4" w:space="0" w:color="000000"/>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000000"/>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2019</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1,175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317.4</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298.8</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18.7</w:t>
            </w:r>
          </w:p>
        </w:tc>
        <w:tc>
          <w:tcPr>
            <w:tcW w:w="1160" w:type="dxa"/>
            <w:vMerge/>
            <w:tcBorders>
              <w:top w:val="single" w:sz="4" w:space="0" w:color="000000"/>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single" w:sz="4" w:space="0" w:color="000000"/>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000000"/>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2020</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1,192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321.8</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302.9</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18.9</w:t>
            </w:r>
          </w:p>
        </w:tc>
        <w:tc>
          <w:tcPr>
            <w:tcW w:w="1160" w:type="dxa"/>
            <w:vMerge/>
            <w:tcBorders>
              <w:top w:val="single" w:sz="4" w:space="0" w:color="000000"/>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single" w:sz="4" w:space="0" w:color="000000"/>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000000"/>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2021</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1,208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326.2</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307.1</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19.2</w:t>
            </w:r>
          </w:p>
        </w:tc>
        <w:tc>
          <w:tcPr>
            <w:tcW w:w="1160" w:type="dxa"/>
            <w:vMerge/>
            <w:tcBorders>
              <w:top w:val="single" w:sz="4" w:space="0" w:color="000000"/>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single" w:sz="4" w:space="0" w:color="000000"/>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000000"/>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2022</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1,225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330.7</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311.3</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19.4</w:t>
            </w:r>
          </w:p>
        </w:tc>
        <w:tc>
          <w:tcPr>
            <w:tcW w:w="1160" w:type="dxa"/>
            <w:vMerge/>
            <w:tcBorders>
              <w:top w:val="single" w:sz="4" w:space="0" w:color="000000"/>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single" w:sz="4" w:space="0" w:color="000000"/>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000000"/>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2023</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1,242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335.3</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315.6</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19.7</w:t>
            </w:r>
          </w:p>
        </w:tc>
        <w:tc>
          <w:tcPr>
            <w:tcW w:w="1160" w:type="dxa"/>
            <w:vMerge/>
            <w:tcBorders>
              <w:top w:val="single" w:sz="4" w:space="0" w:color="000000"/>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single" w:sz="4" w:space="0" w:color="000000"/>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1-in-2 August System Peak Day</w:t>
            </w: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2012</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1,117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291.6</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274.4</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17.2</w:t>
            </w:r>
          </w:p>
        </w:tc>
        <w:tc>
          <w:tcPr>
            <w:tcW w:w="1160" w:type="dxa"/>
            <w:vMerge w:val="restart"/>
            <w:tcBorders>
              <w:top w:val="nil"/>
              <w:left w:val="single" w:sz="4" w:space="0" w:color="000000"/>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5.9%</w:t>
            </w:r>
          </w:p>
        </w:tc>
        <w:tc>
          <w:tcPr>
            <w:tcW w:w="1220" w:type="dxa"/>
            <w:vMerge w:val="restart"/>
            <w:tcBorders>
              <w:top w:val="nil"/>
              <w:left w:val="single" w:sz="4" w:space="0" w:color="000000"/>
              <w:bottom w:val="single" w:sz="4" w:space="0" w:color="000000"/>
              <w:right w:val="single" w:sz="4" w:space="0" w:color="auto"/>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82.0</w:t>
            </w:r>
          </w:p>
        </w:tc>
      </w:tr>
      <w:tr w:rsidR="0035730B" w:rsidRPr="0035730B" w:rsidTr="00B057E7">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2013</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1,083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282.8</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266.1</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16.7</w:t>
            </w:r>
          </w:p>
        </w:tc>
        <w:tc>
          <w:tcPr>
            <w:tcW w:w="1160" w:type="dxa"/>
            <w:vMerge/>
            <w:tcBorders>
              <w:top w:val="nil"/>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nil"/>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2014</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1,097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286.3</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269.4</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16.9</w:t>
            </w:r>
          </w:p>
        </w:tc>
        <w:tc>
          <w:tcPr>
            <w:tcW w:w="1160" w:type="dxa"/>
            <w:vMerge/>
            <w:tcBorders>
              <w:top w:val="nil"/>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nil"/>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2015</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1,114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290.7</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273.6</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17.2</w:t>
            </w:r>
          </w:p>
        </w:tc>
        <w:tc>
          <w:tcPr>
            <w:tcW w:w="1160" w:type="dxa"/>
            <w:vMerge/>
            <w:tcBorders>
              <w:top w:val="nil"/>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nil"/>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2016</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1,128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294.5</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277.1</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17.4</w:t>
            </w:r>
          </w:p>
        </w:tc>
        <w:tc>
          <w:tcPr>
            <w:tcW w:w="1160" w:type="dxa"/>
            <w:vMerge/>
            <w:tcBorders>
              <w:top w:val="nil"/>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nil"/>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2017</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1,144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298.5</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280.9</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17.6</w:t>
            </w:r>
          </w:p>
        </w:tc>
        <w:tc>
          <w:tcPr>
            <w:tcW w:w="1160" w:type="dxa"/>
            <w:vMerge/>
            <w:tcBorders>
              <w:top w:val="nil"/>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nil"/>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2018</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1,159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302.7</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284.8</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17.9</w:t>
            </w:r>
          </w:p>
        </w:tc>
        <w:tc>
          <w:tcPr>
            <w:tcW w:w="1160" w:type="dxa"/>
            <w:vMerge/>
            <w:tcBorders>
              <w:top w:val="nil"/>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nil"/>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2019</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1,175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306.8</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288.7</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18.1</w:t>
            </w:r>
          </w:p>
        </w:tc>
        <w:tc>
          <w:tcPr>
            <w:tcW w:w="1160" w:type="dxa"/>
            <w:vMerge/>
            <w:tcBorders>
              <w:top w:val="nil"/>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nil"/>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2020</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1,192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311.1</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292.7</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18.4</w:t>
            </w:r>
          </w:p>
        </w:tc>
        <w:tc>
          <w:tcPr>
            <w:tcW w:w="1160" w:type="dxa"/>
            <w:vMerge/>
            <w:tcBorders>
              <w:top w:val="nil"/>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nil"/>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2021</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1,208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315.3</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296.7</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18.6</w:t>
            </w:r>
          </w:p>
        </w:tc>
        <w:tc>
          <w:tcPr>
            <w:tcW w:w="1160" w:type="dxa"/>
            <w:vMerge/>
            <w:tcBorders>
              <w:top w:val="nil"/>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nil"/>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2022</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1,225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319.7</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300.8</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18.9</w:t>
            </w:r>
          </w:p>
        </w:tc>
        <w:tc>
          <w:tcPr>
            <w:tcW w:w="1160" w:type="dxa"/>
            <w:vMerge/>
            <w:tcBorders>
              <w:top w:val="nil"/>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nil"/>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r w:rsidR="0035730B" w:rsidRPr="0035730B" w:rsidTr="00B057E7">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2023</w:t>
            </w:r>
          </w:p>
        </w:tc>
        <w:tc>
          <w:tcPr>
            <w:tcW w:w="11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1,242 </w:t>
            </w:r>
          </w:p>
        </w:tc>
        <w:tc>
          <w:tcPr>
            <w:tcW w:w="13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324.1</w:t>
            </w:r>
          </w:p>
        </w:tc>
        <w:tc>
          <w:tcPr>
            <w:tcW w:w="124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305.0</w:t>
            </w:r>
          </w:p>
        </w:tc>
        <w:tc>
          <w:tcPr>
            <w:tcW w:w="1200" w:type="dxa"/>
            <w:tcBorders>
              <w:top w:val="nil"/>
              <w:left w:val="nil"/>
              <w:bottom w:val="single" w:sz="4" w:space="0" w:color="000000"/>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19.1</w:t>
            </w:r>
          </w:p>
        </w:tc>
        <w:tc>
          <w:tcPr>
            <w:tcW w:w="1160" w:type="dxa"/>
            <w:vMerge/>
            <w:tcBorders>
              <w:top w:val="nil"/>
              <w:left w:val="single" w:sz="4" w:space="0" w:color="000000"/>
              <w:bottom w:val="single" w:sz="4" w:space="0" w:color="000000"/>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1220" w:type="dxa"/>
            <w:vMerge/>
            <w:tcBorders>
              <w:top w:val="nil"/>
              <w:left w:val="single" w:sz="4" w:space="0" w:color="000000"/>
              <w:bottom w:val="single" w:sz="4" w:space="0" w:color="000000"/>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r>
    </w:tbl>
    <w:p w:rsidR="0035730B" w:rsidRDefault="0035730B" w:rsidP="0035730B">
      <w:pPr>
        <w:pStyle w:val="BodyParaAfterTableFigure"/>
      </w:pPr>
    </w:p>
    <w:p w:rsidR="0035730B" w:rsidRDefault="0035730B" w:rsidP="0035730B">
      <w:pPr>
        <w:pStyle w:val="BodyParagraph"/>
      </w:pPr>
    </w:p>
    <w:p w:rsidR="002C32AA" w:rsidRDefault="002C32AA" w:rsidP="002C32AA">
      <w:pPr>
        <w:pStyle w:val="BodyParaAfterTableFigure"/>
        <w:rPr>
          <w:rFonts w:ascii="Arial" w:hAnsi="Arial"/>
        </w:rPr>
      </w:pPr>
      <w:r>
        <w:br w:type="page"/>
      </w:r>
    </w:p>
    <w:p w:rsidR="002C32AA" w:rsidRDefault="00DA41F5" w:rsidP="002C32AA">
      <w:pPr>
        <w:pStyle w:val="TableFigureCaption"/>
      </w:pPr>
      <w:r>
        <w:lastRenderedPageBreak/>
        <w:t>Table D</w:t>
      </w:r>
      <w:r w:rsidR="002C32AA">
        <w:t>-5:</w:t>
      </w:r>
      <w:r w:rsidR="00E640AA">
        <w:t xml:space="preserve"> </w:t>
      </w:r>
      <w:r w:rsidR="002C32AA">
        <w:t xml:space="preserve">SDG&amp;E August Peak Day CPP Portfolio Load Impacts for Medium Customers </w:t>
      </w:r>
      <w:r w:rsidR="002C32AA">
        <w:br/>
        <w:t xml:space="preserve">(Hourly Average Reduction in MW Over Event Day Period </w:t>
      </w:r>
      <w:r w:rsidR="003F58C2">
        <w:t>1–6 PM</w:t>
      </w:r>
      <w:r w:rsidR="002C32AA">
        <w:t>)</w:t>
      </w:r>
    </w:p>
    <w:tbl>
      <w:tblPr>
        <w:tblW w:w="9180" w:type="dxa"/>
        <w:tblInd w:w="93" w:type="dxa"/>
        <w:tblLook w:val="04A0" w:firstRow="1" w:lastRow="0" w:firstColumn="1" w:lastColumn="0" w:noHBand="0" w:noVBand="1"/>
      </w:tblPr>
      <w:tblGrid>
        <w:gridCol w:w="960"/>
        <w:gridCol w:w="960"/>
        <w:gridCol w:w="1100"/>
        <w:gridCol w:w="1340"/>
        <w:gridCol w:w="1240"/>
        <w:gridCol w:w="1200"/>
        <w:gridCol w:w="1160"/>
        <w:gridCol w:w="1220"/>
      </w:tblGrid>
      <w:tr w:rsidR="0035730B" w:rsidRPr="0035730B" w:rsidTr="0035730B">
        <w:trPr>
          <w:trHeight w:val="900"/>
        </w:trPr>
        <w:tc>
          <w:tcPr>
            <w:tcW w:w="960" w:type="dxa"/>
            <w:vMerge w:val="restart"/>
            <w:tcBorders>
              <w:top w:val="single" w:sz="4" w:space="0" w:color="auto"/>
              <w:left w:val="single" w:sz="4" w:space="0" w:color="auto"/>
              <w:bottom w:val="single" w:sz="4" w:space="0" w:color="FFFFFF"/>
              <w:right w:val="single" w:sz="4" w:space="0" w:color="FFFFFF"/>
            </w:tcBorders>
            <w:shd w:val="clear" w:color="000000" w:fill="1F497D"/>
            <w:tcMar>
              <w:left w:w="29" w:type="dxa"/>
              <w:right w:w="29" w:type="dxa"/>
            </w:tcMar>
            <w:vAlign w:val="center"/>
            <w:hideMark/>
          </w:tcPr>
          <w:p w:rsidR="0035730B" w:rsidRPr="0035730B" w:rsidRDefault="0035730B" w:rsidP="0035730B">
            <w:pPr>
              <w:pStyle w:val="TableHeader"/>
              <w:rPr>
                <w:rFonts w:cs="Arial"/>
                <w:sz w:val="18"/>
                <w:szCs w:val="18"/>
              </w:rPr>
            </w:pPr>
            <w:r w:rsidRPr="0035730B">
              <w:rPr>
                <w:rFonts w:cs="Arial"/>
                <w:sz w:val="18"/>
                <w:szCs w:val="18"/>
              </w:rPr>
              <w:t>Weather Year</w:t>
            </w:r>
          </w:p>
        </w:tc>
        <w:tc>
          <w:tcPr>
            <w:tcW w:w="960" w:type="dxa"/>
            <w:vMerge w:val="restart"/>
            <w:tcBorders>
              <w:top w:val="single" w:sz="4" w:space="0" w:color="auto"/>
              <w:left w:val="single" w:sz="4" w:space="0" w:color="FFFFFF"/>
              <w:bottom w:val="single" w:sz="4" w:space="0" w:color="FFFFFF"/>
              <w:right w:val="single" w:sz="4" w:space="0" w:color="FFFFFF"/>
            </w:tcBorders>
            <w:shd w:val="clear" w:color="000000" w:fill="1F497D"/>
            <w:tcMar>
              <w:left w:w="29" w:type="dxa"/>
              <w:right w:w="29" w:type="dxa"/>
            </w:tcMar>
            <w:vAlign w:val="center"/>
            <w:hideMark/>
          </w:tcPr>
          <w:p w:rsidR="0035730B" w:rsidRPr="0035730B" w:rsidRDefault="0035730B" w:rsidP="0035730B">
            <w:pPr>
              <w:pStyle w:val="TableHeader"/>
              <w:rPr>
                <w:rFonts w:cs="Arial"/>
                <w:sz w:val="18"/>
                <w:szCs w:val="18"/>
              </w:rPr>
            </w:pPr>
            <w:r w:rsidRPr="0035730B">
              <w:rPr>
                <w:rFonts w:cs="Arial"/>
                <w:sz w:val="18"/>
                <w:szCs w:val="18"/>
              </w:rPr>
              <w:t>Year</w:t>
            </w:r>
          </w:p>
        </w:tc>
        <w:tc>
          <w:tcPr>
            <w:tcW w:w="1100" w:type="dxa"/>
            <w:vMerge w:val="restart"/>
            <w:tcBorders>
              <w:top w:val="single" w:sz="4" w:space="0" w:color="auto"/>
              <w:left w:val="single" w:sz="4" w:space="0" w:color="FFFFFF"/>
              <w:bottom w:val="single" w:sz="4" w:space="0" w:color="FFFFFF"/>
              <w:right w:val="single" w:sz="4" w:space="0" w:color="FFFFFF"/>
            </w:tcBorders>
            <w:shd w:val="clear" w:color="000000" w:fill="1F497D"/>
            <w:tcMar>
              <w:left w:w="29" w:type="dxa"/>
              <w:right w:w="29" w:type="dxa"/>
            </w:tcMar>
            <w:vAlign w:val="center"/>
            <w:hideMark/>
          </w:tcPr>
          <w:p w:rsidR="0035730B" w:rsidRPr="0035730B" w:rsidRDefault="0035730B" w:rsidP="0035730B">
            <w:pPr>
              <w:pStyle w:val="TableHeader"/>
              <w:rPr>
                <w:rFonts w:cs="Arial"/>
                <w:sz w:val="18"/>
                <w:szCs w:val="18"/>
              </w:rPr>
            </w:pPr>
            <w:r w:rsidRPr="0035730B">
              <w:rPr>
                <w:rFonts w:cs="Arial"/>
                <w:sz w:val="18"/>
                <w:szCs w:val="18"/>
              </w:rPr>
              <w:t>Forecasted Enrolled Accounts</w:t>
            </w:r>
          </w:p>
        </w:tc>
        <w:tc>
          <w:tcPr>
            <w:tcW w:w="1340" w:type="dxa"/>
            <w:tcBorders>
              <w:top w:val="single" w:sz="4" w:space="0" w:color="auto"/>
              <w:left w:val="nil"/>
              <w:bottom w:val="single" w:sz="4" w:space="0" w:color="FFFFFF"/>
              <w:right w:val="single" w:sz="4" w:space="0" w:color="FFFFFF"/>
            </w:tcBorders>
            <w:shd w:val="clear" w:color="000000" w:fill="1F497D"/>
            <w:tcMar>
              <w:left w:w="29" w:type="dxa"/>
              <w:right w:w="29" w:type="dxa"/>
            </w:tcMar>
            <w:vAlign w:val="center"/>
            <w:hideMark/>
          </w:tcPr>
          <w:p w:rsidR="0035730B" w:rsidRPr="0035730B" w:rsidRDefault="0035730B" w:rsidP="0035730B">
            <w:pPr>
              <w:pStyle w:val="TableHeader"/>
              <w:rPr>
                <w:rFonts w:cs="Arial"/>
                <w:sz w:val="18"/>
                <w:szCs w:val="18"/>
              </w:rPr>
            </w:pPr>
            <w:r w:rsidRPr="0035730B">
              <w:rPr>
                <w:rFonts w:cs="Arial"/>
                <w:sz w:val="18"/>
                <w:szCs w:val="18"/>
              </w:rPr>
              <w:t>Avg. Reference Load</w:t>
            </w:r>
          </w:p>
        </w:tc>
        <w:tc>
          <w:tcPr>
            <w:tcW w:w="1240" w:type="dxa"/>
            <w:tcBorders>
              <w:top w:val="single" w:sz="4" w:space="0" w:color="auto"/>
              <w:left w:val="nil"/>
              <w:bottom w:val="single" w:sz="4" w:space="0" w:color="FFFFFF"/>
              <w:right w:val="single" w:sz="4" w:space="0" w:color="FFFFFF"/>
            </w:tcBorders>
            <w:shd w:val="clear" w:color="000000" w:fill="1F497D"/>
            <w:tcMar>
              <w:left w:w="29" w:type="dxa"/>
              <w:right w:w="29" w:type="dxa"/>
            </w:tcMar>
            <w:vAlign w:val="center"/>
            <w:hideMark/>
          </w:tcPr>
          <w:p w:rsidR="0035730B" w:rsidRPr="0035730B" w:rsidRDefault="0035730B" w:rsidP="0035730B">
            <w:pPr>
              <w:pStyle w:val="TableHeader"/>
              <w:rPr>
                <w:rFonts w:cs="Arial"/>
                <w:sz w:val="18"/>
                <w:szCs w:val="18"/>
              </w:rPr>
            </w:pPr>
            <w:r w:rsidRPr="0035730B">
              <w:rPr>
                <w:rFonts w:cs="Arial"/>
                <w:sz w:val="18"/>
                <w:szCs w:val="18"/>
              </w:rPr>
              <w:t>Avg. Estimated Load with DR</w:t>
            </w:r>
          </w:p>
        </w:tc>
        <w:tc>
          <w:tcPr>
            <w:tcW w:w="1200" w:type="dxa"/>
            <w:tcBorders>
              <w:top w:val="single" w:sz="4" w:space="0" w:color="auto"/>
              <w:left w:val="nil"/>
              <w:bottom w:val="single" w:sz="4" w:space="0" w:color="FFFFFF"/>
              <w:right w:val="single" w:sz="4" w:space="0" w:color="FFFFFF"/>
            </w:tcBorders>
            <w:shd w:val="clear" w:color="000000" w:fill="1F497D"/>
            <w:tcMar>
              <w:left w:w="29" w:type="dxa"/>
              <w:right w:w="29" w:type="dxa"/>
            </w:tcMar>
            <w:vAlign w:val="center"/>
            <w:hideMark/>
          </w:tcPr>
          <w:p w:rsidR="0035730B" w:rsidRPr="0035730B" w:rsidRDefault="0035730B" w:rsidP="0035730B">
            <w:pPr>
              <w:pStyle w:val="TableHeader"/>
              <w:rPr>
                <w:rFonts w:cs="Arial"/>
                <w:sz w:val="18"/>
                <w:szCs w:val="18"/>
              </w:rPr>
            </w:pPr>
            <w:r w:rsidRPr="0035730B">
              <w:rPr>
                <w:rFonts w:cs="Arial"/>
                <w:sz w:val="18"/>
                <w:szCs w:val="18"/>
              </w:rPr>
              <w:t>Avg. Load Impact</w:t>
            </w:r>
          </w:p>
        </w:tc>
        <w:tc>
          <w:tcPr>
            <w:tcW w:w="1160" w:type="dxa"/>
            <w:tcBorders>
              <w:top w:val="single" w:sz="4" w:space="0" w:color="auto"/>
              <w:left w:val="nil"/>
              <w:bottom w:val="single" w:sz="4" w:space="0" w:color="FFFFFF"/>
              <w:right w:val="single" w:sz="4" w:space="0" w:color="FFFFFF"/>
            </w:tcBorders>
            <w:shd w:val="clear" w:color="000000" w:fill="1F497D"/>
            <w:tcMar>
              <w:left w:w="29" w:type="dxa"/>
              <w:right w:w="29" w:type="dxa"/>
            </w:tcMar>
            <w:vAlign w:val="center"/>
            <w:hideMark/>
          </w:tcPr>
          <w:p w:rsidR="0035730B" w:rsidRPr="0035730B" w:rsidRDefault="0035730B" w:rsidP="0035730B">
            <w:pPr>
              <w:pStyle w:val="TableHeader"/>
              <w:rPr>
                <w:rFonts w:cs="Arial"/>
                <w:sz w:val="18"/>
                <w:szCs w:val="18"/>
              </w:rPr>
            </w:pPr>
            <w:r w:rsidRPr="0035730B">
              <w:rPr>
                <w:rFonts w:cs="Arial"/>
                <w:sz w:val="18"/>
                <w:szCs w:val="18"/>
              </w:rPr>
              <w:t>% Load Reduction</w:t>
            </w:r>
          </w:p>
        </w:tc>
        <w:tc>
          <w:tcPr>
            <w:tcW w:w="1220" w:type="dxa"/>
            <w:tcBorders>
              <w:top w:val="single" w:sz="4" w:space="0" w:color="auto"/>
              <w:left w:val="nil"/>
              <w:bottom w:val="single" w:sz="4" w:space="0" w:color="FFFFFF"/>
              <w:right w:val="single" w:sz="4" w:space="0" w:color="auto"/>
            </w:tcBorders>
            <w:shd w:val="clear" w:color="000000" w:fill="1F497D"/>
            <w:tcMar>
              <w:left w:w="29" w:type="dxa"/>
              <w:right w:w="29" w:type="dxa"/>
            </w:tcMar>
            <w:vAlign w:val="center"/>
            <w:hideMark/>
          </w:tcPr>
          <w:p w:rsidR="0035730B" w:rsidRPr="0035730B" w:rsidRDefault="0035730B" w:rsidP="0035730B">
            <w:pPr>
              <w:pStyle w:val="TableHeader"/>
              <w:rPr>
                <w:rFonts w:cs="Arial"/>
                <w:sz w:val="18"/>
                <w:szCs w:val="18"/>
              </w:rPr>
            </w:pPr>
            <w:r w:rsidRPr="0035730B">
              <w:rPr>
                <w:rFonts w:cs="Arial"/>
                <w:sz w:val="18"/>
                <w:szCs w:val="18"/>
              </w:rPr>
              <w:t>Weighted Temp</w:t>
            </w:r>
          </w:p>
        </w:tc>
      </w:tr>
      <w:tr w:rsidR="0035730B" w:rsidRPr="0035730B" w:rsidTr="0035730B">
        <w:trPr>
          <w:trHeight w:val="450"/>
        </w:trPr>
        <w:tc>
          <w:tcPr>
            <w:tcW w:w="960" w:type="dxa"/>
            <w:vMerge/>
            <w:tcBorders>
              <w:top w:val="single" w:sz="4" w:space="0" w:color="auto"/>
              <w:left w:val="single" w:sz="4" w:space="0" w:color="auto"/>
              <w:bottom w:val="single" w:sz="4" w:space="0" w:color="FFFFFF"/>
              <w:right w:val="single" w:sz="4" w:space="0" w:color="FFFFFF"/>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b/>
                <w:color w:val="FFFFFF" w:themeColor="background1"/>
                <w:sz w:val="18"/>
                <w:szCs w:val="18"/>
              </w:rPr>
            </w:pPr>
          </w:p>
        </w:tc>
        <w:tc>
          <w:tcPr>
            <w:tcW w:w="960" w:type="dxa"/>
            <w:vMerge/>
            <w:tcBorders>
              <w:top w:val="single" w:sz="4" w:space="0" w:color="auto"/>
              <w:left w:val="single" w:sz="4" w:space="0" w:color="FFFFFF"/>
              <w:bottom w:val="single" w:sz="4" w:space="0" w:color="FFFFFF"/>
              <w:right w:val="single" w:sz="4" w:space="0" w:color="FFFFFF"/>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b/>
                <w:color w:val="FFFFFF" w:themeColor="background1"/>
                <w:sz w:val="18"/>
                <w:szCs w:val="18"/>
              </w:rPr>
            </w:pPr>
          </w:p>
        </w:tc>
        <w:tc>
          <w:tcPr>
            <w:tcW w:w="1100" w:type="dxa"/>
            <w:vMerge/>
            <w:tcBorders>
              <w:top w:val="single" w:sz="4" w:space="0" w:color="auto"/>
              <w:left w:val="single" w:sz="4" w:space="0" w:color="FFFFFF"/>
              <w:bottom w:val="single" w:sz="4" w:space="0" w:color="FFFFFF"/>
              <w:right w:val="single" w:sz="4" w:space="0" w:color="FFFFFF"/>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b/>
                <w:color w:val="FFFFFF" w:themeColor="background1"/>
                <w:sz w:val="18"/>
                <w:szCs w:val="18"/>
              </w:rPr>
            </w:pPr>
          </w:p>
        </w:tc>
        <w:tc>
          <w:tcPr>
            <w:tcW w:w="1340" w:type="dxa"/>
            <w:tcBorders>
              <w:top w:val="nil"/>
              <w:left w:val="nil"/>
              <w:bottom w:val="nil"/>
              <w:right w:val="single" w:sz="4" w:space="0" w:color="FFFFFF"/>
            </w:tcBorders>
            <w:shd w:val="clear" w:color="000000" w:fill="1F497D"/>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b/>
                <w:bCs/>
                <w:color w:val="FFFFFF" w:themeColor="background1"/>
                <w:sz w:val="18"/>
                <w:szCs w:val="18"/>
              </w:rPr>
            </w:pPr>
            <w:r w:rsidRPr="0035730B">
              <w:rPr>
                <w:rFonts w:ascii="Arial" w:hAnsi="Arial" w:cs="Arial"/>
                <w:b/>
                <w:color w:val="FFFFFF" w:themeColor="background1"/>
                <w:sz w:val="18"/>
                <w:szCs w:val="18"/>
              </w:rPr>
              <w:t xml:space="preserve">MW </w:t>
            </w:r>
            <w:r w:rsidRPr="0035730B">
              <w:rPr>
                <w:rFonts w:ascii="Arial" w:hAnsi="Arial" w:cs="Arial"/>
                <w:b/>
                <w:color w:val="FFFFFF" w:themeColor="background1"/>
                <w:sz w:val="18"/>
                <w:szCs w:val="18"/>
              </w:rPr>
              <w:br/>
              <w:t>1–6 PM</w:t>
            </w:r>
          </w:p>
        </w:tc>
        <w:tc>
          <w:tcPr>
            <w:tcW w:w="1240" w:type="dxa"/>
            <w:tcBorders>
              <w:top w:val="nil"/>
              <w:left w:val="nil"/>
              <w:bottom w:val="nil"/>
              <w:right w:val="single" w:sz="4" w:space="0" w:color="FFFFFF"/>
            </w:tcBorders>
            <w:shd w:val="clear" w:color="000000" w:fill="1F497D"/>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b/>
                <w:bCs/>
                <w:color w:val="FFFFFF" w:themeColor="background1"/>
                <w:sz w:val="18"/>
                <w:szCs w:val="18"/>
              </w:rPr>
            </w:pPr>
            <w:r w:rsidRPr="0035730B">
              <w:rPr>
                <w:rFonts w:ascii="Arial" w:hAnsi="Arial" w:cs="Arial"/>
                <w:b/>
                <w:color w:val="FFFFFF" w:themeColor="background1"/>
                <w:sz w:val="18"/>
                <w:szCs w:val="18"/>
              </w:rPr>
              <w:t>MW</w:t>
            </w:r>
            <w:r w:rsidRPr="0035730B">
              <w:rPr>
                <w:rFonts w:ascii="Arial" w:hAnsi="Arial" w:cs="Arial"/>
                <w:b/>
                <w:color w:val="FFFFFF" w:themeColor="background1"/>
                <w:sz w:val="18"/>
                <w:szCs w:val="18"/>
              </w:rPr>
              <w:br/>
              <w:t>1–6 PM</w:t>
            </w:r>
          </w:p>
        </w:tc>
        <w:tc>
          <w:tcPr>
            <w:tcW w:w="1200" w:type="dxa"/>
            <w:tcBorders>
              <w:top w:val="nil"/>
              <w:left w:val="nil"/>
              <w:bottom w:val="nil"/>
              <w:right w:val="single" w:sz="4" w:space="0" w:color="FFFFFF"/>
            </w:tcBorders>
            <w:shd w:val="clear" w:color="000000" w:fill="1F497D"/>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b/>
                <w:bCs/>
                <w:color w:val="FFFFFF" w:themeColor="background1"/>
                <w:sz w:val="18"/>
                <w:szCs w:val="18"/>
              </w:rPr>
            </w:pPr>
            <w:r w:rsidRPr="0035730B">
              <w:rPr>
                <w:rFonts w:ascii="Arial" w:hAnsi="Arial" w:cs="Arial"/>
                <w:b/>
                <w:color w:val="FFFFFF" w:themeColor="background1"/>
                <w:sz w:val="18"/>
                <w:szCs w:val="18"/>
              </w:rPr>
              <w:t>MW</w:t>
            </w:r>
            <w:r w:rsidRPr="0035730B">
              <w:rPr>
                <w:rFonts w:ascii="Arial" w:hAnsi="Arial" w:cs="Arial"/>
                <w:b/>
                <w:color w:val="FFFFFF" w:themeColor="background1"/>
                <w:sz w:val="18"/>
                <w:szCs w:val="18"/>
              </w:rPr>
              <w:br/>
              <w:t>1–6 PM</w:t>
            </w:r>
          </w:p>
        </w:tc>
        <w:tc>
          <w:tcPr>
            <w:tcW w:w="1160" w:type="dxa"/>
            <w:tcBorders>
              <w:top w:val="nil"/>
              <w:left w:val="nil"/>
              <w:bottom w:val="nil"/>
              <w:right w:val="single" w:sz="4" w:space="0" w:color="FFFFFF"/>
            </w:tcBorders>
            <w:shd w:val="clear" w:color="000000" w:fill="1F497D"/>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b/>
                <w:bCs/>
                <w:color w:val="FFFFFF" w:themeColor="background1"/>
                <w:sz w:val="18"/>
                <w:szCs w:val="18"/>
              </w:rPr>
            </w:pPr>
            <w:r w:rsidRPr="0035730B">
              <w:rPr>
                <w:rFonts w:ascii="Arial" w:hAnsi="Arial" w:cs="Arial"/>
                <w:b/>
                <w:color w:val="FFFFFF" w:themeColor="background1"/>
                <w:sz w:val="18"/>
                <w:szCs w:val="18"/>
              </w:rPr>
              <w:t>MW</w:t>
            </w:r>
            <w:r w:rsidRPr="0035730B">
              <w:rPr>
                <w:rFonts w:ascii="Arial" w:hAnsi="Arial" w:cs="Arial"/>
                <w:b/>
                <w:color w:val="FFFFFF" w:themeColor="background1"/>
                <w:sz w:val="18"/>
                <w:szCs w:val="18"/>
              </w:rPr>
              <w:br/>
              <w:t>1–6 PM</w:t>
            </w:r>
          </w:p>
        </w:tc>
        <w:tc>
          <w:tcPr>
            <w:tcW w:w="1220" w:type="dxa"/>
            <w:tcBorders>
              <w:top w:val="nil"/>
              <w:left w:val="nil"/>
              <w:bottom w:val="nil"/>
              <w:right w:val="single" w:sz="4" w:space="0" w:color="auto"/>
            </w:tcBorders>
            <w:shd w:val="clear" w:color="000000" w:fill="1F497D"/>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b/>
                <w:bCs/>
                <w:color w:val="FFFFFF" w:themeColor="background1"/>
                <w:sz w:val="18"/>
                <w:szCs w:val="18"/>
              </w:rPr>
            </w:pPr>
            <w:r w:rsidRPr="0035730B">
              <w:rPr>
                <w:rFonts w:ascii="Arial" w:hAnsi="Arial" w:cs="Arial"/>
                <w:b/>
                <w:color w:val="FFFFFF" w:themeColor="background1"/>
                <w:sz w:val="18"/>
                <w:szCs w:val="18"/>
              </w:rPr>
              <w:t>(°F)</w:t>
            </w:r>
          </w:p>
        </w:tc>
      </w:tr>
      <w:tr w:rsidR="0035730B" w:rsidRPr="0035730B" w:rsidTr="0035730B">
        <w:trPr>
          <w:trHeight w:val="346"/>
        </w:trPr>
        <w:tc>
          <w:tcPr>
            <w:tcW w:w="960" w:type="dxa"/>
            <w:vMerge w:val="restart"/>
            <w:tcBorders>
              <w:top w:val="nil"/>
              <w:left w:val="single" w:sz="4" w:space="0" w:color="auto"/>
              <w:bottom w:val="nil"/>
              <w:right w:val="single" w:sz="4" w:space="0" w:color="000000"/>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1-in-10 August System Peak Day</w:t>
            </w:r>
          </w:p>
        </w:tc>
        <w:tc>
          <w:tcPr>
            <w:tcW w:w="960" w:type="dxa"/>
            <w:tcBorders>
              <w:top w:val="single" w:sz="4" w:space="0" w:color="000000"/>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2013</w:t>
            </w:r>
          </w:p>
        </w:tc>
        <w:tc>
          <w:tcPr>
            <w:tcW w:w="1100" w:type="dxa"/>
            <w:tcBorders>
              <w:top w:val="single" w:sz="4" w:space="0" w:color="000000"/>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0 </w:t>
            </w:r>
          </w:p>
        </w:tc>
        <w:tc>
          <w:tcPr>
            <w:tcW w:w="1340" w:type="dxa"/>
            <w:tcBorders>
              <w:top w:val="single" w:sz="4" w:space="0" w:color="000000"/>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w:t>
            </w:r>
          </w:p>
        </w:tc>
        <w:tc>
          <w:tcPr>
            <w:tcW w:w="1240" w:type="dxa"/>
            <w:tcBorders>
              <w:top w:val="single" w:sz="4" w:space="0" w:color="000000"/>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w:t>
            </w:r>
          </w:p>
        </w:tc>
        <w:tc>
          <w:tcPr>
            <w:tcW w:w="1200" w:type="dxa"/>
            <w:tcBorders>
              <w:top w:val="single" w:sz="4" w:space="0" w:color="000000"/>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w:t>
            </w:r>
          </w:p>
        </w:tc>
        <w:tc>
          <w:tcPr>
            <w:tcW w:w="1160" w:type="dxa"/>
            <w:tcBorders>
              <w:top w:val="single" w:sz="4" w:space="0" w:color="000000"/>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w:t>
            </w:r>
          </w:p>
        </w:tc>
        <w:tc>
          <w:tcPr>
            <w:tcW w:w="1220" w:type="dxa"/>
            <w:tcBorders>
              <w:top w:val="single" w:sz="4" w:space="0" w:color="000000"/>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w:t>
            </w:r>
          </w:p>
        </w:tc>
      </w:tr>
      <w:tr w:rsidR="0035730B" w:rsidRPr="0035730B" w:rsidTr="0035730B">
        <w:trPr>
          <w:trHeight w:val="346"/>
        </w:trPr>
        <w:tc>
          <w:tcPr>
            <w:tcW w:w="960" w:type="dxa"/>
            <w:vMerge/>
            <w:tcBorders>
              <w:top w:val="nil"/>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2014</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8,707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478.5</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460.3</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18.2</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3.8%</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84.4</w:t>
            </w:r>
          </w:p>
        </w:tc>
      </w:tr>
      <w:tr w:rsidR="0035730B" w:rsidRPr="0035730B" w:rsidTr="0035730B">
        <w:trPr>
          <w:trHeight w:val="346"/>
        </w:trPr>
        <w:tc>
          <w:tcPr>
            <w:tcW w:w="960" w:type="dxa"/>
            <w:vMerge/>
            <w:tcBorders>
              <w:top w:val="nil"/>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2015</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7,119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388.9</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371.4</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17.4</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4.5%</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84.4</w:t>
            </w:r>
          </w:p>
        </w:tc>
      </w:tr>
      <w:tr w:rsidR="0035730B" w:rsidRPr="0035730B" w:rsidTr="0035730B">
        <w:trPr>
          <w:trHeight w:val="346"/>
        </w:trPr>
        <w:tc>
          <w:tcPr>
            <w:tcW w:w="960" w:type="dxa"/>
            <w:vMerge/>
            <w:tcBorders>
              <w:top w:val="nil"/>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2016</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6,775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370.1</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351.4</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18.7</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5.0%</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84.4</w:t>
            </w:r>
          </w:p>
        </w:tc>
      </w:tr>
      <w:tr w:rsidR="0035730B" w:rsidRPr="0035730B" w:rsidTr="0035730B">
        <w:trPr>
          <w:trHeight w:val="346"/>
        </w:trPr>
        <w:tc>
          <w:tcPr>
            <w:tcW w:w="960" w:type="dxa"/>
            <w:vMerge/>
            <w:tcBorders>
              <w:top w:val="nil"/>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2017</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6,861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374.8</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355.8</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18.9</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5.0%</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84.4</w:t>
            </w:r>
          </w:p>
        </w:tc>
      </w:tr>
      <w:tr w:rsidR="0035730B" w:rsidRPr="0035730B" w:rsidTr="0035730B">
        <w:trPr>
          <w:trHeight w:val="346"/>
        </w:trPr>
        <w:tc>
          <w:tcPr>
            <w:tcW w:w="960" w:type="dxa"/>
            <w:vMerge/>
            <w:tcBorders>
              <w:top w:val="nil"/>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2018</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6,955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379.9</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360.8</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19.2</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5.0%</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84.4</w:t>
            </w:r>
          </w:p>
        </w:tc>
      </w:tr>
      <w:tr w:rsidR="0035730B" w:rsidRPr="0035730B" w:rsidTr="0035730B">
        <w:trPr>
          <w:trHeight w:val="346"/>
        </w:trPr>
        <w:tc>
          <w:tcPr>
            <w:tcW w:w="960" w:type="dxa"/>
            <w:vMerge/>
            <w:tcBorders>
              <w:top w:val="nil"/>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2019</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7,059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385.6</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366.1</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19.5</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5.0%</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84.4</w:t>
            </w:r>
          </w:p>
        </w:tc>
      </w:tr>
      <w:tr w:rsidR="0035730B" w:rsidRPr="0035730B" w:rsidTr="0035730B">
        <w:trPr>
          <w:trHeight w:val="346"/>
        </w:trPr>
        <w:tc>
          <w:tcPr>
            <w:tcW w:w="960" w:type="dxa"/>
            <w:vMerge/>
            <w:tcBorders>
              <w:top w:val="nil"/>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2020</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7,157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390.9</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371.2</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19.7</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5.0%</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84.4</w:t>
            </w:r>
          </w:p>
        </w:tc>
      </w:tr>
      <w:tr w:rsidR="0035730B" w:rsidRPr="0035730B" w:rsidTr="0035730B">
        <w:trPr>
          <w:trHeight w:val="346"/>
        </w:trPr>
        <w:tc>
          <w:tcPr>
            <w:tcW w:w="960" w:type="dxa"/>
            <w:vMerge/>
            <w:tcBorders>
              <w:top w:val="nil"/>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2021</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7,255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396.3</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376.3</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20.0</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5.0%</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84.4</w:t>
            </w:r>
          </w:p>
        </w:tc>
      </w:tr>
      <w:tr w:rsidR="0035730B" w:rsidRPr="0035730B" w:rsidTr="0035730B">
        <w:trPr>
          <w:trHeight w:val="346"/>
        </w:trPr>
        <w:tc>
          <w:tcPr>
            <w:tcW w:w="960" w:type="dxa"/>
            <w:vMerge/>
            <w:tcBorders>
              <w:top w:val="nil"/>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2022</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7,355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401.7</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381.5</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20.3</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5.0%</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84.4</w:t>
            </w:r>
          </w:p>
        </w:tc>
      </w:tr>
      <w:tr w:rsidR="0035730B" w:rsidRPr="0035730B" w:rsidTr="0035730B">
        <w:trPr>
          <w:trHeight w:val="346"/>
        </w:trPr>
        <w:tc>
          <w:tcPr>
            <w:tcW w:w="960" w:type="dxa"/>
            <w:vMerge/>
            <w:tcBorders>
              <w:top w:val="nil"/>
              <w:left w:val="single" w:sz="4" w:space="0" w:color="auto"/>
              <w:bottom w:val="nil"/>
              <w:right w:val="single" w:sz="4" w:space="0" w:color="000000"/>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2023</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7,456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407.3</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386.7</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20.5</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5.0%</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84.4</w:t>
            </w:r>
          </w:p>
        </w:tc>
      </w:tr>
      <w:tr w:rsidR="0035730B" w:rsidRPr="0035730B" w:rsidTr="0035730B">
        <w:trPr>
          <w:trHeight w:val="346"/>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1-in-2 August System Peak Day</w:t>
            </w: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2013</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0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w:t>
            </w:r>
          </w:p>
        </w:tc>
        <w:tc>
          <w:tcPr>
            <w:tcW w:w="122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w:t>
            </w:r>
          </w:p>
        </w:tc>
      </w:tr>
      <w:tr w:rsidR="0035730B" w:rsidRPr="0035730B" w:rsidTr="0035730B">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2014</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8,707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460.5</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442.8</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17.6</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3.8%</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81.9</w:t>
            </w:r>
          </w:p>
        </w:tc>
      </w:tr>
      <w:tr w:rsidR="0035730B" w:rsidRPr="0035730B" w:rsidTr="0035730B">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2015</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7,119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374.3</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357.4</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16.9</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4.5%</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81.9</w:t>
            </w:r>
          </w:p>
        </w:tc>
      </w:tr>
      <w:tr w:rsidR="0035730B" w:rsidRPr="0035730B" w:rsidTr="0035730B">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2016</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6,775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356.3</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338.2</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18.1</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5.1%</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81.9</w:t>
            </w:r>
          </w:p>
        </w:tc>
      </w:tr>
      <w:tr w:rsidR="0035730B" w:rsidRPr="0035730B" w:rsidTr="0035730B">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2017</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6,861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360.8</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342.4</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18.3</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5.1%</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81.9</w:t>
            </w:r>
          </w:p>
        </w:tc>
      </w:tr>
      <w:tr w:rsidR="0035730B" w:rsidRPr="0035730B" w:rsidTr="0035730B">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2018</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6,955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365.7</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347.2</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18.6</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5.1%</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81.9</w:t>
            </w:r>
          </w:p>
        </w:tc>
      </w:tr>
      <w:tr w:rsidR="0035730B" w:rsidRPr="0035730B" w:rsidTr="0035730B">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2019</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7,059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371.2</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352.3</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18.8</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5.1%</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81.9</w:t>
            </w:r>
          </w:p>
        </w:tc>
      </w:tr>
      <w:tr w:rsidR="0035730B" w:rsidRPr="0035730B" w:rsidTr="0035730B">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2020</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7,157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376.3</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357.2</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19.1</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5.1%</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81.9</w:t>
            </w:r>
          </w:p>
        </w:tc>
      </w:tr>
      <w:tr w:rsidR="0035730B" w:rsidRPr="0035730B" w:rsidTr="0035730B">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2021</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7,255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381.5</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362.1</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19.4</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5.1%</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81.9</w:t>
            </w:r>
          </w:p>
        </w:tc>
      </w:tr>
      <w:tr w:rsidR="0035730B" w:rsidRPr="0035730B" w:rsidTr="0035730B">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2022</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7,355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386.7</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367.1</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19.6</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5.1%</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81.9</w:t>
            </w:r>
          </w:p>
        </w:tc>
      </w:tr>
      <w:tr w:rsidR="0035730B" w:rsidRPr="0035730B" w:rsidTr="0035730B">
        <w:trPr>
          <w:trHeight w:val="346"/>
        </w:trPr>
        <w:tc>
          <w:tcPr>
            <w:tcW w:w="960" w:type="dxa"/>
            <w:vMerge/>
            <w:tcBorders>
              <w:top w:val="single" w:sz="4" w:space="0" w:color="auto"/>
              <w:left w:val="single" w:sz="4" w:space="0" w:color="auto"/>
              <w:bottom w:val="single" w:sz="4" w:space="0" w:color="auto"/>
              <w:right w:val="single" w:sz="4" w:space="0" w:color="auto"/>
            </w:tcBorders>
            <w:tcMar>
              <w:left w:w="29" w:type="dxa"/>
              <w:right w:w="29" w:type="dxa"/>
            </w:tcMar>
            <w:vAlign w:val="center"/>
            <w:hideMark/>
          </w:tcPr>
          <w:p w:rsidR="0035730B" w:rsidRPr="0035730B" w:rsidRDefault="0035730B" w:rsidP="0035730B">
            <w:pPr>
              <w:spacing w:after="0" w:line="240" w:lineRule="auto"/>
              <w:rPr>
                <w:rFonts w:ascii="Arial" w:eastAsia="Times New Roman" w:hAnsi="Arial" w:cs="Arial"/>
                <w:color w:val="000000"/>
                <w:sz w:val="18"/>
                <w:szCs w:val="18"/>
              </w:rPr>
            </w:pPr>
          </w:p>
        </w:tc>
        <w:tc>
          <w:tcPr>
            <w:tcW w:w="9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2023</w:t>
            </w:r>
          </w:p>
        </w:tc>
        <w:tc>
          <w:tcPr>
            <w:tcW w:w="11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 xml:space="preserve">7,456 </w:t>
            </w:r>
          </w:p>
        </w:tc>
        <w:tc>
          <w:tcPr>
            <w:tcW w:w="13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392.1</w:t>
            </w:r>
          </w:p>
        </w:tc>
        <w:tc>
          <w:tcPr>
            <w:tcW w:w="124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372.2</w:t>
            </w:r>
          </w:p>
        </w:tc>
        <w:tc>
          <w:tcPr>
            <w:tcW w:w="120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19.9</w:t>
            </w:r>
          </w:p>
        </w:tc>
        <w:tc>
          <w:tcPr>
            <w:tcW w:w="1160" w:type="dxa"/>
            <w:tcBorders>
              <w:top w:val="nil"/>
              <w:left w:val="nil"/>
              <w:bottom w:val="single" w:sz="4" w:space="0" w:color="000000"/>
              <w:right w:val="single" w:sz="4" w:space="0" w:color="000000"/>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5.1%</w:t>
            </w:r>
          </w:p>
        </w:tc>
        <w:tc>
          <w:tcPr>
            <w:tcW w:w="1220" w:type="dxa"/>
            <w:tcBorders>
              <w:top w:val="nil"/>
              <w:left w:val="nil"/>
              <w:bottom w:val="single" w:sz="4" w:space="0" w:color="000000"/>
              <w:right w:val="single" w:sz="4" w:space="0" w:color="auto"/>
            </w:tcBorders>
            <w:shd w:val="clear" w:color="auto" w:fill="auto"/>
            <w:noWrap/>
            <w:tcMar>
              <w:left w:w="29" w:type="dxa"/>
              <w:right w:w="29" w:type="dxa"/>
            </w:tcMar>
            <w:vAlign w:val="center"/>
            <w:hideMark/>
          </w:tcPr>
          <w:p w:rsidR="0035730B" w:rsidRPr="0035730B" w:rsidRDefault="0035730B" w:rsidP="0035730B">
            <w:pPr>
              <w:spacing w:after="0" w:line="240" w:lineRule="auto"/>
              <w:jc w:val="center"/>
              <w:rPr>
                <w:rFonts w:ascii="Arial" w:eastAsia="Times New Roman" w:hAnsi="Arial" w:cs="Arial"/>
                <w:color w:val="000000"/>
                <w:sz w:val="18"/>
                <w:szCs w:val="18"/>
              </w:rPr>
            </w:pPr>
            <w:r w:rsidRPr="0035730B">
              <w:rPr>
                <w:rFonts w:ascii="Arial" w:eastAsia="Times New Roman" w:hAnsi="Arial" w:cs="Arial"/>
                <w:color w:val="000000"/>
                <w:sz w:val="18"/>
                <w:szCs w:val="18"/>
              </w:rPr>
              <w:t>81.9</w:t>
            </w:r>
          </w:p>
        </w:tc>
      </w:tr>
    </w:tbl>
    <w:p w:rsidR="00531F5B" w:rsidRDefault="00531F5B" w:rsidP="002C32AA">
      <w:pPr>
        <w:pStyle w:val="TableFigureCaption"/>
        <w:rPr>
          <w:sz w:val="18"/>
        </w:rPr>
      </w:pPr>
    </w:p>
    <w:sectPr w:rsidR="00531F5B" w:rsidSect="00C82C6B">
      <w:headerReference w:type="default" r:id="rId5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0384" w:rsidRDefault="00010384" w:rsidP="00DB35F9">
      <w:pPr>
        <w:spacing w:after="0" w:line="240" w:lineRule="auto"/>
      </w:pPr>
      <w:r>
        <w:separator/>
      </w:r>
    </w:p>
  </w:endnote>
  <w:endnote w:type="continuationSeparator" w:id="0">
    <w:p w:rsidR="00010384" w:rsidRDefault="00010384" w:rsidP="00DB35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Bold">
    <w:panose1 w:val="00000000000000000000"/>
    <w:charset w:val="00"/>
    <w:family w:val="roman"/>
    <w:notTrueType/>
    <w:pitch w:val="default"/>
  </w:font>
  <w:font w:name="Palatino">
    <w:panose1 w:val="00000000000000000000"/>
    <w:charset w:val="00"/>
    <w:family w:val="roman"/>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TitilliumText22L Xb">
    <w:altName w:val="Arial"/>
    <w:panose1 w:val="00000000000000000000"/>
    <w:charset w:val="00"/>
    <w:family w:val="modern"/>
    <w:notTrueType/>
    <w:pitch w:val="variable"/>
    <w:sig w:usb0="A00000EF" w:usb1="0000004B" w:usb2="00000000" w:usb3="00000000" w:csb0="00000193"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Default="00010384" w:rsidP="002C5BF9">
    <w:pPr>
      <w:pStyle w:val="Footer"/>
      <w:jc w:val="right"/>
      <w:rPr>
        <w:rFonts w:ascii="TitilliumText22L Xb" w:eastAsiaTheme="minorHAnsi" w:hAnsi="TitilliumText22L Xb" w:cstheme="minorBidi"/>
        <w:szCs w:val="22"/>
      </w:rPr>
    </w:pPr>
    <w:r>
      <w:rPr>
        <w:rFonts w:ascii="TitilliumText22L Xb" w:hAnsi="TitilliumText22L Xb"/>
        <w:noProof/>
      </w:rPr>
      <w:drawing>
        <wp:anchor distT="0" distB="0" distL="114300" distR="114300" simplePos="0" relativeHeight="251656704" behindDoc="0" locked="0" layoutInCell="1" allowOverlap="1">
          <wp:simplePos x="0" y="0"/>
          <wp:positionH relativeFrom="column">
            <wp:posOffset>-135496</wp:posOffset>
          </wp:positionH>
          <wp:positionV relativeFrom="paragraph">
            <wp:posOffset>-118682</wp:posOffset>
          </wp:positionV>
          <wp:extent cx="2080206" cy="425002"/>
          <wp:effectExtent l="19050" t="0" r="0" b="0"/>
          <wp:wrapNone/>
          <wp:docPr id="3" name="Picture 3"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C Logo NEW PURPLE 2007"/>
                  <pic:cNvPicPr>
                    <a:picLocks noChangeAspect="1" noChangeArrowheads="1"/>
                  </pic:cNvPicPr>
                </pic:nvPicPr>
                <pic:blipFill>
                  <a:blip r:embed="rId1"/>
                  <a:srcRect/>
                  <a:stretch>
                    <a:fillRect/>
                  </a:stretch>
                </pic:blipFill>
                <pic:spPr bwMode="auto">
                  <a:xfrm>
                    <a:off x="0" y="0"/>
                    <a:ext cx="2080206" cy="425002"/>
                  </a:xfrm>
                  <a:prstGeom prst="rect">
                    <a:avLst/>
                  </a:prstGeom>
                  <a:noFill/>
                </pic:spPr>
              </pic:pic>
            </a:graphicData>
          </a:graphic>
        </wp:anchor>
      </w:drawing>
    </w:r>
    <w:sdt>
      <w:sdtPr>
        <w:rPr>
          <w:rFonts w:ascii="TitilliumText22L Xb" w:hAnsi="TitilliumText22L Xb"/>
        </w:rPr>
        <w:id w:val="18682042"/>
        <w:docPartObj>
          <w:docPartGallery w:val="Page Numbers (Bottom of Page)"/>
          <w:docPartUnique/>
        </w:docPartObj>
      </w:sdtPr>
      <w:sdtContent>
        <w:r w:rsidRPr="00344C3B">
          <w:rPr>
            <w:rFonts w:ascii="Arial Black" w:hAnsi="Arial Black"/>
            <w:color w:val="808080" w:themeColor="background1" w:themeShade="80"/>
          </w:rPr>
          <w:fldChar w:fldCharType="begin"/>
        </w:r>
        <w:r w:rsidRPr="00344C3B">
          <w:rPr>
            <w:rFonts w:ascii="Arial Black" w:hAnsi="Arial Black"/>
            <w:color w:val="808080" w:themeColor="background1" w:themeShade="80"/>
          </w:rPr>
          <w:instrText xml:space="preserve"> PAGE   \* MERGEFORMAT </w:instrText>
        </w:r>
        <w:r w:rsidRPr="00344C3B">
          <w:rPr>
            <w:rFonts w:ascii="Arial Black" w:hAnsi="Arial Black"/>
            <w:color w:val="808080" w:themeColor="background1" w:themeShade="80"/>
          </w:rPr>
          <w:fldChar w:fldCharType="separate"/>
        </w:r>
        <w:r>
          <w:rPr>
            <w:rFonts w:ascii="Arial Black" w:hAnsi="Arial Black"/>
            <w:noProof/>
            <w:color w:val="808080" w:themeColor="background1" w:themeShade="80"/>
          </w:rPr>
          <w:t>6</w:t>
        </w:r>
        <w:r w:rsidRPr="00344C3B">
          <w:rPr>
            <w:rFonts w:ascii="Arial Black" w:hAnsi="Arial Black"/>
            <w:color w:val="808080" w:themeColor="background1" w:themeShade="80"/>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0318"/>
      <w:docPartObj>
        <w:docPartGallery w:val="Page Numbers (Bottom of Page)"/>
        <w:docPartUnique/>
      </w:docPartObj>
    </w:sdtPr>
    <w:sdtContent>
      <w:p w:rsidR="00010384" w:rsidRDefault="00010384" w:rsidP="00DB35F9">
        <w:pPr>
          <w:pStyle w:val="Footer"/>
          <w:jc w:val="right"/>
        </w:pPr>
      </w:p>
    </w:sdtContent>
  </w:sdt>
  <w:p w:rsidR="00010384" w:rsidRDefault="0001038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Pr="00321715" w:rsidRDefault="00010384" w:rsidP="00B50663">
    <w:pPr>
      <w:pStyle w:val="Footer"/>
      <w:jc w:val="right"/>
      <w:rPr>
        <w:sz w:val="20"/>
        <w:szCs w:val="20"/>
      </w:rPr>
    </w:pPr>
  </w:p>
  <w:p w:rsidR="00010384" w:rsidRDefault="0001038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tilliumText22L Xb" w:hAnsi="TitilliumText22L Xb"/>
      </w:rPr>
      <w:id w:val="10591911"/>
      <w:docPartObj>
        <w:docPartGallery w:val="Page Numbers (Bottom of Page)"/>
        <w:docPartUnique/>
      </w:docPartObj>
    </w:sdtPr>
    <w:sdtContent>
      <w:p w:rsidR="00010384" w:rsidRPr="0036226B" w:rsidRDefault="00010384" w:rsidP="001E3B5B">
        <w:pPr>
          <w:pStyle w:val="Footer"/>
          <w:jc w:val="right"/>
          <w:rPr>
            <w:rFonts w:ascii="TitilliumText22L Xb" w:hAnsi="TitilliumText22L Xb"/>
          </w:rPr>
        </w:pPr>
        <w:r w:rsidRPr="00344C3B">
          <w:rPr>
            <w:rFonts w:ascii="Arial Black" w:hAnsi="Arial Black"/>
            <w:noProof/>
            <w:color w:val="808080" w:themeColor="background1" w:themeShade="80"/>
          </w:rPr>
          <w:drawing>
            <wp:anchor distT="0" distB="0" distL="114300" distR="114300" simplePos="0" relativeHeight="251658752" behindDoc="0" locked="0" layoutInCell="1" allowOverlap="1">
              <wp:simplePos x="0" y="0"/>
              <wp:positionH relativeFrom="column">
                <wp:posOffset>-133350</wp:posOffset>
              </wp:positionH>
              <wp:positionV relativeFrom="paragraph">
                <wp:posOffset>-97790</wp:posOffset>
              </wp:positionV>
              <wp:extent cx="2052320" cy="419100"/>
              <wp:effectExtent l="19050" t="0" r="5080" b="0"/>
              <wp:wrapNone/>
              <wp:docPr id="10" name="Picture 3"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C Logo NEW PURPLE 2007"/>
                      <pic:cNvPicPr>
                        <a:picLocks noChangeAspect="1" noChangeArrowheads="1"/>
                      </pic:cNvPicPr>
                    </pic:nvPicPr>
                    <pic:blipFill>
                      <a:blip r:embed="rId1"/>
                      <a:srcRect/>
                      <a:stretch>
                        <a:fillRect/>
                      </a:stretch>
                    </pic:blipFill>
                    <pic:spPr bwMode="auto">
                      <a:xfrm>
                        <a:off x="0" y="0"/>
                        <a:ext cx="2052320" cy="419100"/>
                      </a:xfrm>
                      <a:prstGeom prst="rect">
                        <a:avLst/>
                      </a:prstGeom>
                      <a:noFill/>
                    </pic:spPr>
                  </pic:pic>
                </a:graphicData>
              </a:graphic>
            </wp:anchor>
          </w:drawing>
        </w:r>
        <w:r w:rsidRPr="00344C3B">
          <w:rPr>
            <w:rFonts w:ascii="Arial Black" w:hAnsi="Arial Black"/>
            <w:color w:val="808080" w:themeColor="background1" w:themeShade="80"/>
          </w:rPr>
          <w:fldChar w:fldCharType="begin"/>
        </w:r>
        <w:r w:rsidRPr="00344C3B">
          <w:rPr>
            <w:rFonts w:ascii="Arial Black" w:hAnsi="Arial Black"/>
            <w:color w:val="808080" w:themeColor="background1" w:themeShade="80"/>
          </w:rPr>
          <w:instrText xml:space="preserve"> PAGE   \* MERGEFORMAT </w:instrText>
        </w:r>
        <w:r w:rsidRPr="00344C3B">
          <w:rPr>
            <w:rFonts w:ascii="Arial Black" w:hAnsi="Arial Black"/>
            <w:color w:val="808080" w:themeColor="background1" w:themeShade="80"/>
          </w:rPr>
          <w:fldChar w:fldCharType="separate"/>
        </w:r>
        <w:r w:rsidR="005978C5">
          <w:rPr>
            <w:rFonts w:ascii="Arial Black" w:hAnsi="Arial Black"/>
            <w:noProof/>
            <w:color w:val="808080" w:themeColor="background1" w:themeShade="80"/>
          </w:rPr>
          <w:t>5</w:t>
        </w:r>
        <w:r w:rsidRPr="00344C3B">
          <w:rPr>
            <w:rFonts w:ascii="Arial Black" w:hAnsi="Arial Black"/>
            <w:color w:val="808080" w:themeColor="background1" w:themeShade="80"/>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Pr="00321715" w:rsidRDefault="00010384" w:rsidP="001E3B5B">
    <w:pPr>
      <w:pStyle w:val="Footer"/>
      <w:jc w:val="right"/>
      <w:rPr>
        <w:sz w:val="20"/>
        <w:szCs w:val="20"/>
      </w:rPr>
    </w:pPr>
    <w:r w:rsidRPr="009D111C">
      <w:rPr>
        <w:rStyle w:val="PageNumber"/>
        <w:rFonts w:eastAsiaTheme="majorEastAsia"/>
      </w:rPr>
      <w:fldChar w:fldCharType="begin"/>
    </w:r>
    <w:r w:rsidRPr="009D111C">
      <w:rPr>
        <w:rStyle w:val="PageNumber"/>
        <w:rFonts w:eastAsiaTheme="majorEastAsia"/>
      </w:rPr>
      <w:instrText xml:space="preserve">PAGE  </w:instrText>
    </w:r>
    <w:r w:rsidRPr="009D111C">
      <w:rPr>
        <w:rStyle w:val="PageNumber"/>
        <w:rFonts w:eastAsiaTheme="majorEastAsia"/>
      </w:rPr>
      <w:fldChar w:fldCharType="separate"/>
    </w:r>
    <w:r>
      <w:rPr>
        <w:rStyle w:val="PageNumber"/>
        <w:rFonts w:eastAsiaTheme="majorEastAsia"/>
        <w:noProof/>
      </w:rPr>
      <w:t>58</w:t>
    </w:r>
    <w:r w:rsidRPr="009D111C">
      <w:rPr>
        <w:rStyle w:val="PageNumber"/>
        <w:rFonts w:eastAsiaTheme="majorEastAsia"/>
      </w:rPr>
      <w:fldChar w:fldCharType="end"/>
    </w:r>
  </w:p>
  <w:p w:rsidR="00010384" w:rsidRDefault="000103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0384" w:rsidRDefault="00010384" w:rsidP="00DB35F9">
      <w:pPr>
        <w:spacing w:after="0" w:line="240" w:lineRule="auto"/>
      </w:pPr>
      <w:r>
        <w:separator/>
      </w:r>
    </w:p>
  </w:footnote>
  <w:footnote w:type="continuationSeparator" w:id="0">
    <w:p w:rsidR="00010384" w:rsidRDefault="00010384" w:rsidP="00DB35F9">
      <w:pPr>
        <w:spacing w:after="0" w:line="240" w:lineRule="auto"/>
      </w:pPr>
      <w:r>
        <w:continuationSeparator/>
      </w:r>
    </w:p>
  </w:footnote>
  <w:footnote w:id="1">
    <w:p w:rsidR="00010384" w:rsidRDefault="00010384" w:rsidP="00827253">
      <w:r w:rsidRPr="00BA1B12">
        <w:rPr>
          <w:rStyle w:val="FootnoteReference"/>
          <w:rFonts w:ascii="Franklin Gothic Book" w:hAnsi="Franklin Gothic Book"/>
          <w:sz w:val="18"/>
          <w:szCs w:val="18"/>
        </w:rPr>
        <w:footnoteRef/>
      </w:r>
      <w:r w:rsidRPr="00BA1B12">
        <w:rPr>
          <w:rFonts w:ascii="Franklin Gothic Book" w:hAnsi="Franklin Gothic Book"/>
          <w:sz w:val="18"/>
          <w:szCs w:val="18"/>
        </w:rPr>
        <w:t xml:space="preserve"> </w:t>
      </w:r>
      <w:r w:rsidRPr="00BA1B12">
        <w:rPr>
          <w:rFonts w:ascii="Franklin Gothic Book" w:eastAsia="Times New Roman" w:hAnsi="Franklin Gothic Book" w:cs="Times New Roman"/>
          <w:color w:val="000000"/>
          <w:sz w:val="18"/>
          <w:szCs w:val="18"/>
        </w:rPr>
        <w:t xml:space="preserve">SDG&amp;E dispatched two CPP events in 2011 and seven events in 2012.  The 2012 SDG&amp;E value reported in </w:t>
      </w:r>
      <w:r>
        <w:rPr>
          <w:rFonts w:ascii="Franklin Gothic Book" w:eastAsia="Times New Roman" w:hAnsi="Franklin Gothic Book" w:cs="Times New Roman"/>
          <w:color w:val="000000"/>
          <w:sz w:val="18"/>
          <w:szCs w:val="18"/>
        </w:rPr>
        <w:t>T</w:t>
      </w:r>
      <w:r w:rsidRPr="00BA1B12">
        <w:rPr>
          <w:rFonts w:ascii="Franklin Gothic Book" w:eastAsia="Times New Roman" w:hAnsi="Franklin Gothic Book" w:cs="Times New Roman"/>
          <w:color w:val="000000"/>
          <w:sz w:val="18"/>
          <w:szCs w:val="18"/>
        </w:rPr>
        <w:t>able</w:t>
      </w:r>
      <w:r>
        <w:rPr>
          <w:rFonts w:ascii="Franklin Gothic Book" w:eastAsia="Times New Roman" w:hAnsi="Franklin Gothic Book" w:cs="Times New Roman"/>
          <w:color w:val="000000"/>
          <w:sz w:val="18"/>
          <w:szCs w:val="18"/>
        </w:rPr>
        <w:t xml:space="preserve"> 1-1</w:t>
      </w:r>
      <w:r w:rsidRPr="00BA1B12">
        <w:rPr>
          <w:rFonts w:ascii="Franklin Gothic Book" w:eastAsia="Times New Roman" w:hAnsi="Franklin Gothic Book" w:cs="Times New Roman"/>
          <w:color w:val="000000"/>
          <w:sz w:val="18"/>
          <w:szCs w:val="18"/>
        </w:rPr>
        <w:t xml:space="preserve"> represents the average weekday load impact across the five weekday events called in 2012.  The 2011 SDG&amp;E value represents the load impacts from the single weekday event dispatched on September 7, 2011.</w:t>
      </w:r>
    </w:p>
  </w:footnote>
  <w:footnote w:id="2">
    <w:p w:rsidR="00010384" w:rsidRPr="00411399" w:rsidRDefault="00010384" w:rsidP="00056D0A">
      <w:pPr>
        <w:pStyle w:val="Footnote"/>
      </w:pPr>
      <w:r>
        <w:rPr>
          <w:rStyle w:val="FootnoteReference"/>
        </w:rPr>
        <w:footnoteRef/>
      </w:r>
      <w:r>
        <w:t xml:space="preserve"> All customers who were defaulted onto the program or would have been defaulted onto CPP due to their size are classified as </w:t>
      </w:r>
      <w:r w:rsidRPr="00411399">
        <w:rPr>
          <w:i/>
        </w:rPr>
        <w:t>Default CPP</w:t>
      </w:r>
      <w:r>
        <w:t xml:space="preserve">. </w:t>
      </w:r>
      <w:r>
        <w:rPr>
          <w:i/>
        </w:rPr>
        <w:t xml:space="preserve"> </w:t>
      </w:r>
    </w:p>
  </w:footnote>
  <w:footnote w:id="3">
    <w:p w:rsidR="00010384" w:rsidRDefault="00010384" w:rsidP="00056D0A">
      <w:pPr>
        <w:pStyle w:val="Footnote"/>
      </w:pPr>
      <w:r>
        <w:rPr>
          <w:rStyle w:val="FootnoteReference"/>
        </w:rPr>
        <w:footnoteRef/>
      </w:r>
      <w:r>
        <w:t xml:space="preserve"> In this report, definitions of large, medium and small C&amp;I customers are consistent with demand response reporting to the </w:t>
      </w:r>
      <w:r w:rsidRPr="00056D0A">
        <w:t>California</w:t>
      </w:r>
      <w:r>
        <w:t xml:space="preserve"> Public Utilities Commission (CPUC).  Accounts with annual peak demand of 200 kW or more are considered large C&amp;I while accounts between 20 kW and 200 kW are referred to as medium C&amp;I.  Small commercial customers include all accounts with annual peak demands under 20 kW.  This is in contrast to how PG&amp;E and SCE rate schedules define customers.  At these utilities, customers with annual peak demand above 500 kW are categorized as large C&amp;I and those with demands between 200 kW to 500 kW are categorized as medium.   </w:t>
      </w:r>
    </w:p>
  </w:footnote>
  <w:footnote w:id="4">
    <w:p w:rsidR="00010384" w:rsidRDefault="00010384" w:rsidP="006514E9">
      <w:pPr>
        <w:pStyle w:val="Footnote"/>
      </w:pPr>
      <w:r>
        <w:rPr>
          <w:rStyle w:val="FootnoteReference"/>
        </w:rPr>
        <w:footnoteRef/>
      </w:r>
      <w:r>
        <w:t xml:space="preserve"> A-10 </w:t>
      </w:r>
      <w:r w:rsidRPr="006720A1">
        <w:t>customers</w:t>
      </w:r>
      <w:r>
        <w:t xml:space="preserve"> are not eligible for CR, but they are offered other risk-shifting options to compensate: the every-other-event option and the six-hour-event-period option.</w:t>
      </w:r>
    </w:p>
  </w:footnote>
  <w:footnote w:id="5">
    <w:p w:rsidR="00010384" w:rsidRDefault="00010384" w:rsidP="00924B67">
      <w:pPr>
        <w:pStyle w:val="Footnote"/>
      </w:pPr>
      <w:r w:rsidRPr="00234E59">
        <w:rPr>
          <w:rStyle w:val="FootnoteReference"/>
          <w:szCs w:val="18"/>
        </w:rPr>
        <w:footnoteRef/>
      </w:r>
      <w:r>
        <w:t xml:space="preserve"> Table 2-1 </w:t>
      </w:r>
      <w:r w:rsidRPr="00292B1C">
        <w:t>does not include all CPP rates at each utility</w:t>
      </w:r>
      <w:r>
        <w:t xml:space="preserve"> and the rates shown are presented for illustrative purposes only</w:t>
      </w:r>
      <w:r w:rsidRPr="00292B1C">
        <w:t>.</w:t>
      </w:r>
      <w:r>
        <w:t xml:space="preserve">  </w:t>
      </w:r>
      <w:r w:rsidRPr="00292B1C">
        <w:t xml:space="preserve">Rates </w:t>
      </w:r>
      <w:r>
        <w:t>may vary over the course of the program year</w:t>
      </w:r>
      <w:r w:rsidRPr="00292B1C">
        <w:t xml:space="preserve">, </w:t>
      </w:r>
      <w:r>
        <w:t xml:space="preserve">by </w:t>
      </w:r>
      <w:r w:rsidRPr="00292B1C">
        <w:t xml:space="preserve">customer size and service voltage level.  The rates shown are for </w:t>
      </w:r>
      <w:r w:rsidRPr="00A160C2">
        <w:t>customers</w:t>
      </w:r>
      <w:r w:rsidRPr="00292B1C">
        <w:t xml:space="preserve"> at the secondary </w:t>
      </w:r>
      <w:r>
        <w:t xml:space="preserve">service </w:t>
      </w:r>
      <w:r w:rsidRPr="00292B1C">
        <w:t>voltage level</w:t>
      </w:r>
      <w:r>
        <w:t xml:space="preserve">.  </w:t>
      </w:r>
      <w:r w:rsidRPr="00292B1C">
        <w:t>E-19 is mandatory for PG&amp;E customers who fail to meet the requirements of E-20, but have monthly maximum b</w:t>
      </w:r>
      <w:r>
        <w:t xml:space="preserve">illing demand above 499 kW and </w:t>
      </w:r>
      <w:r w:rsidRPr="00292B1C">
        <w:t>is voluntary for PG&amp;E customers with</w:t>
      </w:r>
      <w:r>
        <w:t> </w:t>
      </w:r>
      <w:r w:rsidRPr="00292B1C">
        <w:t>maximum billing demand greater than 200 kW and less than 500 kW; TOU-GS-3 is mandatory for SCE customers with maximum demand greater than 200 kW and less than 500 kW; and AL-TOU applies to all SDG&amp;E customers whose monthly maximum demand equals, exceeds, or is expecte</w:t>
      </w:r>
      <w:r>
        <w:t>d to equal or exceed 20 kW.  This</w:t>
      </w:r>
      <w:r w:rsidRPr="00292B1C">
        <w:t xml:space="preserve"> example PG&amp;E E-19 rate </w:t>
      </w:r>
      <w:r>
        <w:t>was effective March 1</w:t>
      </w:r>
      <w:r w:rsidRPr="00292B1C">
        <w:t xml:space="preserve">, 2012; the SCE TOU-GS-3 rate was </w:t>
      </w:r>
      <w:r>
        <w:t>effective</w:t>
      </w:r>
      <w:r w:rsidRPr="00292B1C">
        <w:t xml:space="preserve"> </w:t>
      </w:r>
      <w:r>
        <w:t>January 1, 2012</w:t>
      </w:r>
      <w:r w:rsidRPr="00292B1C">
        <w:t xml:space="preserve">; </w:t>
      </w:r>
      <w:r w:rsidRPr="00B60C68">
        <w:t xml:space="preserve">the SDG&amp;E AL-TOU demand charges were effective March 1, 2012 and the energy charges were effective January 1, 2012; the SDG&amp;E EECC AL-TOU and EECC-CPP-D commodity rates were effective January 1, 2012.  Please consult </w:t>
      </w:r>
      <w:r>
        <w:t xml:space="preserve">each utility's </w:t>
      </w:r>
      <w:r w:rsidRPr="00B60C68">
        <w:t>website</w:t>
      </w:r>
      <w:r w:rsidRPr="00292B1C">
        <w:t xml:space="preserve"> to obtain the CPP rates that</w:t>
      </w:r>
      <w:r>
        <w:t> </w:t>
      </w:r>
      <w:r w:rsidRPr="00292B1C">
        <w:t>were</w:t>
      </w:r>
      <w:r>
        <w:t> </w:t>
      </w:r>
      <w:r w:rsidRPr="00292B1C">
        <w:t>in</w:t>
      </w:r>
      <w:r>
        <w:t> </w:t>
      </w:r>
      <w:r w:rsidRPr="00292B1C">
        <w:t>effect for specific time</w:t>
      </w:r>
      <w:r>
        <w:t xml:space="preserve"> </w:t>
      </w:r>
      <w:r w:rsidRPr="00292B1C">
        <w:t>periods.</w:t>
      </w:r>
    </w:p>
  </w:footnote>
  <w:footnote w:id="6">
    <w:p w:rsidR="00010384" w:rsidRPr="007E4A46" w:rsidRDefault="00010384" w:rsidP="002B5AC6">
      <w:pPr>
        <w:pStyle w:val="Footnote"/>
      </w:pPr>
      <w:r>
        <w:rPr>
          <w:rStyle w:val="FootnoteReference"/>
        </w:rPr>
        <w:footnoteRef/>
      </w:r>
      <w:r>
        <w:t xml:space="preserve"> Throughout this methodology summary, we use the word </w:t>
      </w:r>
      <w:r>
        <w:rPr>
          <w:i/>
        </w:rPr>
        <w:t xml:space="preserve">customer </w:t>
      </w:r>
      <w:r>
        <w:t xml:space="preserve">synonymously with service account.   </w:t>
      </w:r>
    </w:p>
  </w:footnote>
  <w:footnote w:id="7">
    <w:p w:rsidR="00010384" w:rsidRDefault="00010384" w:rsidP="002B5AC6">
      <w:pPr>
        <w:pStyle w:val="Footnote"/>
      </w:pPr>
      <w:r>
        <w:rPr>
          <w:rStyle w:val="FootnoteReference"/>
        </w:rPr>
        <w:footnoteRef/>
      </w:r>
      <w:r>
        <w:t xml:space="preserve"> For a discussion of the use of propensity score matching to identify control groups, see Imbens, Guido W. and Woolridge, Jeffrey M.  “Recent Developments in the Econometrics of Program Evaluation.”  </w:t>
      </w:r>
      <w:r w:rsidRPr="00E8093E">
        <w:rPr>
          <w:i/>
        </w:rPr>
        <w:t>Journal of Economic Literature</w:t>
      </w:r>
      <w:r>
        <w:t xml:space="preserve"> 47.1 (2009): 5-86.</w:t>
      </w:r>
    </w:p>
  </w:footnote>
  <w:footnote w:id="8">
    <w:p w:rsidR="00010384" w:rsidRDefault="00010384" w:rsidP="002B5AC6">
      <w:pPr>
        <w:pStyle w:val="Footnote"/>
      </w:pPr>
      <w:r>
        <w:rPr>
          <w:rStyle w:val="FootnoteReference"/>
        </w:rPr>
        <w:footnoteRef/>
      </w:r>
      <w:r>
        <w:t xml:space="preserve"> Participants in the latter two programs were included because they were not dispatched at the same time as CPP rates in 2012 and are typically dispatched once or twice per year, mainly for testing.</w:t>
      </w:r>
    </w:p>
  </w:footnote>
  <w:footnote w:id="9">
    <w:p w:rsidR="00010384" w:rsidRDefault="00010384" w:rsidP="002B5AC6">
      <w:pPr>
        <w:pStyle w:val="Footnote"/>
      </w:pPr>
      <w:r>
        <w:rPr>
          <w:rStyle w:val="FootnoteReference"/>
        </w:rPr>
        <w:footnoteRef/>
      </w:r>
      <w:r>
        <w:t xml:space="preserve"> Matches were restricted to a tight range: if customers within a very similar propensity score (&lt;0.02 difference) could not be found, those CPP customers went unmatched.  For each utility, over 90% of CPP participants and load was matched. </w:t>
      </w:r>
    </w:p>
  </w:footnote>
  <w:footnote w:id="10">
    <w:p w:rsidR="00010384" w:rsidRDefault="00010384" w:rsidP="002B5AC6">
      <w:pPr>
        <w:pStyle w:val="Footnote"/>
      </w:pPr>
      <w:r>
        <w:rPr>
          <w:rStyle w:val="FootnoteReference"/>
        </w:rPr>
        <w:footnoteRef/>
      </w:r>
      <w:r>
        <w:t xml:space="preserve"> Industry groups for SCE and PG&amp;E were defined based on the first two digits of NAICS codes.  All categories with less than 150 customers were placed into other groups.  Additional weight was given to control group candidates if they had a NAICS code with the same first digit. </w:t>
      </w:r>
    </w:p>
  </w:footnote>
  <w:footnote w:id="11">
    <w:p w:rsidR="00010384" w:rsidRDefault="00010384" w:rsidP="002B5AC6">
      <w:pPr>
        <w:pStyle w:val="Footnote"/>
      </w:pPr>
      <w:r>
        <w:rPr>
          <w:rStyle w:val="FootnoteReference"/>
        </w:rPr>
        <w:footnoteRef/>
      </w:r>
      <w:r>
        <w:t xml:space="preserve"> Based on typical standards for statistical significance, even in fully randomized control trials, 1 in 20 variables will reflect statistically significant differences due to chance.</w:t>
      </w:r>
    </w:p>
  </w:footnote>
  <w:footnote w:id="12">
    <w:p w:rsidR="00010384" w:rsidRDefault="00010384" w:rsidP="002B5AC6">
      <w:pPr>
        <w:pStyle w:val="Footer"/>
      </w:pPr>
      <w:r w:rsidRPr="00C32AE3">
        <w:rPr>
          <w:rStyle w:val="FootnoteReference"/>
          <w:rFonts w:ascii="Franklin Gothic Book" w:eastAsiaTheme="minorHAnsi" w:hAnsi="Franklin Gothic Book" w:cstheme="minorBidi"/>
          <w:sz w:val="18"/>
          <w:szCs w:val="20"/>
        </w:rPr>
        <w:footnoteRef/>
      </w:r>
      <w:r>
        <w:t xml:space="preserve"> </w:t>
      </w:r>
      <w:r w:rsidRPr="00EB4A9A">
        <w:rPr>
          <w:rStyle w:val="FootnoteTextChar"/>
          <w:sz w:val="14"/>
          <w:szCs w:val="14"/>
        </w:rPr>
        <w:t>Definition of regions varies across utilities.  PG&amp;E’s regions reflect Very Hot (e.g., Fresno and Bakersfield), Hot (e.g., Sacramento and Fairfield), Warm (e.g., San Jose and Concord) and Coastal (e.g., San Francisco and Oakland).  For SCE, they were based on grouping similar climate zones defined by the California Energy Commission.  For SDG&amp;E, they reflect Southeast (e.g., Chula Vista, La Mesa and Alpine), Northeast (e.g., Oceanside, Fallbrook, Ramona and Borrego Springs), Central (e.g., San Diego and San Ysidro) and North (e.g., Mission Viejo).</w:t>
      </w:r>
    </w:p>
  </w:footnote>
  <w:footnote w:id="13">
    <w:p w:rsidR="00010384" w:rsidRDefault="00010384" w:rsidP="002B5AC6">
      <w:pPr>
        <w:pStyle w:val="Footnote"/>
      </w:pPr>
      <w:r>
        <w:rPr>
          <w:rStyle w:val="FootnoteReference"/>
        </w:rPr>
        <w:footnoteRef/>
      </w:r>
      <w:r>
        <w:t xml:space="preserve"> This is also true for individual customer regressions. </w:t>
      </w:r>
    </w:p>
  </w:footnote>
  <w:footnote w:id="14">
    <w:p w:rsidR="00010384" w:rsidRDefault="00010384" w:rsidP="002B5AC6">
      <w:pPr>
        <w:pStyle w:val="Footnote"/>
      </w:pPr>
      <w:r>
        <w:rPr>
          <w:rStyle w:val="FootnoteReference"/>
        </w:rPr>
        <w:footnoteRef/>
      </w:r>
      <w:r>
        <w:t xml:space="preserve"> </w:t>
      </w:r>
      <w:r w:rsidRPr="00A765EB">
        <w:rPr>
          <w:rStyle w:val="FootnoteTextChar"/>
        </w:rPr>
        <w:t xml:space="preserve">Fixed </w:t>
      </w:r>
      <w:r w:rsidRPr="004F0234">
        <w:rPr>
          <w:rStyle w:val="FootnoteTextChar"/>
        </w:rPr>
        <w:t>effects</w:t>
      </w:r>
      <w:r w:rsidRPr="00A765EB">
        <w:rPr>
          <w:rStyle w:val="FootnoteTextChar"/>
        </w:rPr>
        <w:t xml:space="preserve"> account for unobserved time invariant customer characteristics. </w:t>
      </w:r>
      <w:r>
        <w:rPr>
          <w:rStyle w:val="FootnoteTextChar"/>
        </w:rPr>
        <w:t xml:space="preserve"> </w:t>
      </w:r>
      <w:r w:rsidRPr="00A765EB">
        <w:rPr>
          <w:rStyle w:val="FootnoteTextChar"/>
        </w:rPr>
        <w:t>They also place all customers on the same</w:t>
      </w:r>
      <w:r>
        <w:rPr>
          <w:rStyle w:val="FootnoteTextChar"/>
        </w:rPr>
        <w:t> </w:t>
      </w:r>
      <w:r w:rsidRPr="00A765EB">
        <w:rPr>
          <w:rStyle w:val="FootnoteTextChar"/>
        </w:rPr>
        <w:t xml:space="preserve">scale.  Time </w:t>
      </w:r>
      <w:r w:rsidRPr="00056D0A">
        <w:rPr>
          <w:rStyle w:val="FootnoteTextChar"/>
        </w:rPr>
        <w:t>effects</w:t>
      </w:r>
      <w:r w:rsidRPr="00A765EB">
        <w:rPr>
          <w:rStyle w:val="FootnoteTextChar"/>
        </w:rPr>
        <w:t xml:space="preserve"> account for unobserved factors that are the same across all customers but unique to </w:t>
      </w:r>
      <w:r>
        <w:rPr>
          <w:rStyle w:val="FootnoteTextChar"/>
        </w:rPr>
        <w:t xml:space="preserve">a </w:t>
      </w:r>
      <w:r w:rsidRPr="00A765EB">
        <w:rPr>
          <w:rStyle w:val="FootnoteTextChar"/>
        </w:rPr>
        <w:t>specific time period.</w:t>
      </w:r>
      <w:r w:rsidRPr="009C4B38">
        <w:t xml:space="preserve"> </w:t>
      </w:r>
    </w:p>
  </w:footnote>
  <w:footnote w:id="15">
    <w:p w:rsidR="00010384" w:rsidRDefault="00010384" w:rsidP="002B5AC6">
      <w:pPr>
        <w:pStyle w:val="Footnote"/>
      </w:pPr>
      <w:r>
        <w:rPr>
          <w:rStyle w:val="FootnoteReference"/>
        </w:rPr>
        <w:footnoteRef/>
      </w:r>
      <w:r>
        <w:t xml:space="preserve"> A second model was tested that included weather to assess if it affected the precision of the standard errors or changed the results.  The second model produced results that were nearly identical to the first, indicating that the control group and the </w:t>
      </w:r>
      <w:r w:rsidRPr="00056D0A">
        <w:t>difference</w:t>
      </w:r>
      <w:r>
        <w:t>-in-differences adjustment provided nearly all the explanatory power.</w:t>
      </w:r>
    </w:p>
  </w:footnote>
  <w:footnote w:id="16">
    <w:p w:rsidR="00010384" w:rsidRDefault="00010384" w:rsidP="002B5AC6">
      <w:pPr>
        <w:pStyle w:val="Footnote"/>
      </w:pPr>
      <w:r>
        <w:rPr>
          <w:rStyle w:val="FootnoteReference"/>
        </w:rPr>
        <w:footnoteRef/>
      </w:r>
      <w:r>
        <w:t xml:space="preserve"> For PG&amp;E, the temperatures were calculated based on the 5-station simple average of the Concord, Fresno, Oakland, Red Bluff and San Jose weather stations.  These are the same weather stations PG&amp;E uses in assessing whether or not to dispatch programs.  For SDG&amp;E, the temperatures were from the Miramar weather station, which is used to assess when to dispatch events.  For SCE, we used the simple average of the 9 weather stations that most correlated (correlation above 0.80) with system loads across 2007-2012.</w:t>
      </w:r>
    </w:p>
  </w:footnote>
  <w:footnote w:id="17">
    <w:p w:rsidR="00010384" w:rsidRDefault="00010384" w:rsidP="002B5AC6">
      <w:pPr>
        <w:pStyle w:val="Footnote"/>
      </w:pPr>
      <w:r>
        <w:rPr>
          <w:rStyle w:val="FootnoteReference"/>
        </w:rPr>
        <w:footnoteRef/>
      </w:r>
      <w:r>
        <w:t xml:space="preserve"> With the difference-in-differences calculation, we calculate the difference between CPP and control groups during proxy event days </w:t>
      </w:r>
      <w:r w:rsidRPr="004F0234">
        <w:t>and</w:t>
      </w:r>
      <w:r>
        <w:t xml:space="preserve"> net it out of differences observed during actual events.  Since the false experiment is designed to replicate the models and process for days when the answer is known, a second set of proxy or control days was selected to match the pseudo-events.  These are presented in Appendix B.  In the false experiment, we estimated impacts for the pseudo or proxy event days.  The second set of proxy days was used to calculate the difference between CPP and control groups, which was then netted out of differences observed during the pseudo-events.</w:t>
      </w:r>
    </w:p>
  </w:footnote>
  <w:footnote w:id="18">
    <w:p w:rsidR="00010384" w:rsidRDefault="00010384" w:rsidP="002B5AC6">
      <w:pPr>
        <w:pStyle w:val="Footnote"/>
      </w:pPr>
      <w:r>
        <w:rPr>
          <w:rStyle w:val="FootnoteReference"/>
        </w:rPr>
        <w:footnoteRef/>
      </w:r>
      <w:r>
        <w:t xml:space="preserve"> Customers are classified as small, medium and large based on maximum demand levels rather than average demand levels.  As a result, many customers with average demand of 200 kW and below may look more like medium customers.  In addition, some customers that met the definition of large customers, at the time, were defaulted onto CPP, but no longer meet the definition of large customers.  Many of these customers remain on CPP rates.</w:t>
      </w:r>
    </w:p>
  </w:footnote>
  <w:footnote w:id="19">
    <w:p w:rsidR="00010384" w:rsidRDefault="00010384">
      <w:pPr>
        <w:pStyle w:val="FootnoteText"/>
      </w:pPr>
      <w:r>
        <w:rPr>
          <w:rStyle w:val="FootnoteReference"/>
        </w:rPr>
        <w:footnoteRef/>
      </w:r>
      <w:r>
        <w:t xml:space="preserve"> Calculated as average kWh per hour, calculated by dividing all Oct 2011-September 2012 consumption by the total hours in that time period.</w:t>
      </w:r>
    </w:p>
  </w:footnote>
  <w:footnote w:id="20">
    <w:p w:rsidR="00010384" w:rsidRDefault="00010384">
      <w:pPr>
        <w:pStyle w:val="FootnoteText"/>
      </w:pPr>
      <w:r>
        <w:rPr>
          <w:rStyle w:val="FootnoteReference"/>
        </w:rPr>
        <w:footnoteRef/>
      </w:r>
      <w:r>
        <w:t xml:space="preserve"> A single observation of negative load impacts with a large amount of leverage in both the difference-in-differences and individual regression datasets has been removed for this graphic.  </w:t>
      </w:r>
    </w:p>
  </w:footnote>
  <w:footnote w:id="21">
    <w:p w:rsidR="00010384" w:rsidRDefault="00010384" w:rsidP="00930216">
      <w:pPr>
        <w:pStyle w:val="Footnote"/>
      </w:pPr>
      <w:r>
        <w:rPr>
          <w:rStyle w:val="FootnoteReference"/>
        </w:rPr>
        <w:footnoteRef/>
      </w:r>
      <w:r>
        <w:t xml:space="preserve"> The single day where percent demand reductions appear to be different than the average event may also be random noise.  Since impacts were estimated with 90% confidence bands, there is a 10% chance that the difference is random. </w:t>
      </w:r>
    </w:p>
  </w:footnote>
  <w:footnote w:id="22">
    <w:p w:rsidR="00010384" w:rsidRDefault="00010384" w:rsidP="00930216">
      <w:pPr>
        <w:pStyle w:val="Footnote"/>
      </w:pPr>
      <w:r>
        <w:rPr>
          <w:rStyle w:val="FootnoteReference"/>
        </w:rPr>
        <w:footnoteRef/>
      </w:r>
      <w:r>
        <w:t xml:space="preserve"> </w:t>
      </w:r>
      <w:r w:rsidRPr="00737157">
        <w:t xml:space="preserve">San Onofre Nuclear Generating Station (SONGS) </w:t>
      </w:r>
      <w:r>
        <w:t>reactor units 2 and 3 have been shut down since January 2012 and are still offline as of the writing of this report.</w:t>
      </w:r>
    </w:p>
  </w:footnote>
  <w:footnote w:id="23">
    <w:p w:rsidR="00010384" w:rsidRDefault="00010384">
      <w:pPr>
        <w:pStyle w:val="FootnoteText"/>
      </w:pPr>
      <w:r>
        <w:rPr>
          <w:rStyle w:val="FootnoteReference"/>
        </w:rPr>
        <w:footnoteRef/>
      </w:r>
      <w:r>
        <w:t xml:space="preserve"> Calculated as average kWh per hour, calculated as all 2012 consumption over all 2012 hours.</w:t>
      </w:r>
    </w:p>
  </w:footnote>
  <w:footnote w:id="24">
    <w:p w:rsidR="00010384" w:rsidRDefault="00010384" w:rsidP="00DD775D">
      <w:pPr>
        <w:pStyle w:val="FootnoteText"/>
      </w:pPr>
      <w:r>
        <w:rPr>
          <w:rStyle w:val="FootnoteReference"/>
        </w:rPr>
        <w:footnoteRef/>
      </w:r>
      <w:r>
        <w:t xml:space="preserve"> Calculated as average kWh per hour, calculated as all 2012 consumption over all 2012 hours.</w:t>
      </w:r>
    </w:p>
  </w:footnote>
  <w:footnote w:id="25">
    <w:p w:rsidR="00010384" w:rsidRDefault="00010384">
      <w:pPr>
        <w:pStyle w:val="FootnoteText"/>
      </w:pPr>
      <w:r>
        <w:rPr>
          <w:rStyle w:val="FootnoteReference"/>
        </w:rPr>
        <w:footnoteRef/>
      </w:r>
      <w:r>
        <w:t xml:space="preserve"> For ex ante estimation</w:t>
      </w:r>
      <w:r>
        <w:t>,</w:t>
      </w:r>
      <w:r>
        <w:t xml:space="preserve"> PG&amp;E split its existing default CPP population into medium and large customers.  In contrast, ex </w:t>
      </w:r>
      <w:bookmarkStart w:id="154" w:name="_GoBack"/>
      <w:bookmarkEnd w:id="154"/>
      <w:r>
        <w:t>post impacts were reported for all default CPP customers.</w:t>
      </w:r>
    </w:p>
  </w:footnote>
  <w:footnote w:id="26">
    <w:p w:rsidR="00010384" w:rsidRDefault="00010384" w:rsidP="00EF76C3">
      <w:pPr>
        <w:pStyle w:val="FootnoteText"/>
      </w:pPr>
      <w:r>
        <w:rPr>
          <w:rStyle w:val="FootnoteReference"/>
        </w:rPr>
        <w:footnoteRef/>
      </w:r>
      <w:r>
        <w:t xml:space="preserve"> Customers are not defaulted onto CPP until they have had interval </w:t>
      </w:r>
      <w:r w:rsidRPr="0091024A">
        <w:t xml:space="preserve">data available for </w:t>
      </w:r>
      <w:r>
        <w:t xml:space="preserve">at least </w:t>
      </w:r>
      <w:r w:rsidRPr="0091024A">
        <w:t>12 months.</w:t>
      </w:r>
    </w:p>
  </w:footnote>
  <w:footnote w:id="27">
    <w:p w:rsidR="00010384" w:rsidRDefault="00010384" w:rsidP="00EF76C3">
      <w:pPr>
        <w:pStyle w:val="FootnoteText"/>
      </w:pPr>
      <w:r w:rsidRPr="00BD1A9D">
        <w:rPr>
          <w:rStyle w:val="FootnoteReference"/>
        </w:rPr>
        <w:footnoteRef/>
      </w:r>
      <w:r>
        <w:t xml:space="preserve"> This excludes some </w:t>
      </w:r>
      <w:r w:rsidRPr="00BD1A9D">
        <w:t>customers who were initially enrolled onto CPP on a default basis, but have since been reclassified to medium customers due to changes in their overall non-coincident peak loads.</w:t>
      </w:r>
      <w:r>
        <w:t xml:space="preserve"> </w:t>
      </w:r>
    </w:p>
  </w:footnote>
  <w:footnote w:id="28">
    <w:p w:rsidR="00010384" w:rsidRDefault="00010384" w:rsidP="00EF76C3">
      <w:pPr>
        <w:pStyle w:val="FootnoteText"/>
      </w:pPr>
      <w:r>
        <w:rPr>
          <w:rStyle w:val="FootnoteReference"/>
        </w:rPr>
        <w:footnoteRef/>
      </w:r>
      <w:r>
        <w:t xml:space="preserve"> Ex ante load impacts in figure reflect calculation before zeroing out impacts from schools.</w:t>
      </w:r>
    </w:p>
  </w:footnote>
  <w:footnote w:id="29">
    <w:p w:rsidR="00010384" w:rsidRDefault="00010384" w:rsidP="008D48E1">
      <w:pPr>
        <w:pStyle w:val="Footnote"/>
      </w:pPr>
      <w:r>
        <w:rPr>
          <w:rStyle w:val="FootnoteReference"/>
        </w:rPr>
        <w:footnoteRef/>
      </w:r>
      <w:r>
        <w:t xml:space="preserve"> Customers are classified as small, medium and large based on maximum demand levels rather than average demand levels.  The size categorization used is based on consumption.  As a result, customers with average annual hourly demand of 200 kW include many customers that are classified as large, based on maximum demand levels.</w:t>
      </w:r>
    </w:p>
  </w:footnote>
  <w:footnote w:id="30">
    <w:p w:rsidR="00010384" w:rsidRDefault="00010384" w:rsidP="003762BD">
      <w:pPr>
        <w:pStyle w:val="Footnote"/>
      </w:pPr>
      <w:r>
        <w:rPr>
          <w:rStyle w:val="FootnoteReference"/>
        </w:rPr>
        <w:footnoteRef/>
      </w:r>
      <w:r>
        <w:t xml:space="preserve"> Given the limited number of price points per hour,</w:t>
      </w:r>
      <w:r w:rsidRPr="00A765EB">
        <w:t xml:space="preserve"> price elasticities can be </w:t>
      </w:r>
      <w:r>
        <w:t>manually</w:t>
      </w:r>
      <w:r w:rsidRPr="00A765EB">
        <w:t xml:space="preserve"> estimated based on the percent change in consumption and </w:t>
      </w:r>
      <w:r>
        <w:t xml:space="preserve">percent </w:t>
      </w:r>
      <w:r w:rsidRPr="00A765EB">
        <w:t>change in prices</w:t>
      </w:r>
      <w:r>
        <w:t>.</w:t>
      </w:r>
    </w:p>
  </w:footnote>
  <w:footnote w:id="31">
    <w:p w:rsidR="00010384" w:rsidRDefault="00010384" w:rsidP="003762BD">
      <w:pPr>
        <w:pStyle w:val="Footnote"/>
      </w:pPr>
      <w:r>
        <w:rPr>
          <w:rStyle w:val="FootnoteReference"/>
        </w:rPr>
        <w:footnoteRef/>
      </w:r>
      <w:r>
        <w:t xml:space="preserve"> In practice, this term is absorbed by the fixed effects, but it is useful for representing the model logic.</w:t>
      </w:r>
    </w:p>
  </w:footnote>
  <w:footnote w:id="32">
    <w:p w:rsidR="00010384" w:rsidRDefault="00010384" w:rsidP="003762BD">
      <w:pPr>
        <w:pStyle w:val="Footnote"/>
      </w:pPr>
      <w:r>
        <w:rPr>
          <w:rStyle w:val="FootnoteReference"/>
        </w:rPr>
        <w:footnoteRef/>
      </w:r>
      <w:r>
        <w:t xml:space="preserve"> In practice, this term is absorbed by the time effects, but it is useful for representing the model logic.</w:t>
      </w:r>
    </w:p>
  </w:footnote>
  <w:footnote w:id="33">
    <w:p w:rsidR="00010384" w:rsidRPr="002F5FC2" w:rsidRDefault="00010384" w:rsidP="00A61B6E">
      <w:pPr>
        <w:pStyle w:val="Footnote"/>
      </w:pPr>
      <w:r w:rsidRPr="002F5FC2">
        <w:rPr>
          <w:rStyle w:val="FootnoteReference"/>
          <w:szCs w:val="18"/>
        </w:rPr>
        <w:footnoteRef/>
      </w:r>
      <w:r w:rsidRPr="002F5FC2">
        <w:t xml:space="preserve"> This does not mean there is no effect; it simply means that the effect, if any, cannot be distinguished from random noise. </w:t>
      </w:r>
    </w:p>
  </w:footnote>
  <w:footnote w:id="34">
    <w:p w:rsidR="00010384" w:rsidRPr="002F5FC2" w:rsidRDefault="00010384" w:rsidP="00A61B6E">
      <w:pPr>
        <w:pStyle w:val="Footnote"/>
      </w:pPr>
      <w:r w:rsidRPr="002F5FC2">
        <w:rPr>
          <w:rStyle w:val="FootnoteReference"/>
          <w:szCs w:val="18"/>
        </w:rPr>
        <w:footnoteRef/>
      </w:r>
      <w:r w:rsidRPr="002F5FC2">
        <w:t xml:space="preserve"> Running separate models each hour – 24 models – with robust standard errors using OLS produced similar standard errors as time series techniques including Feasible GLS and Newey-West correction for auto-correlation.</w:t>
      </w:r>
    </w:p>
  </w:footnote>
  <w:footnote w:id="35">
    <w:p w:rsidR="00010384" w:rsidRDefault="00010384" w:rsidP="00A61B6E">
      <w:pPr>
        <w:pStyle w:val="Footnote"/>
      </w:pPr>
      <w:r w:rsidRPr="002F5FC2">
        <w:rPr>
          <w:rStyle w:val="FootnoteReference"/>
          <w:szCs w:val="18"/>
        </w:rPr>
        <w:footnoteRef/>
      </w:r>
      <w:r w:rsidRPr="002F5FC2">
        <w:t xml:space="preserve"> For SDG&amp;E, regressions for Saturday events were estimated using only Saturday non-event data.  No other utility had historical Saturday events.</w:t>
      </w:r>
    </w:p>
  </w:footnote>
  <w:footnote w:id="36">
    <w:p w:rsidR="00010384" w:rsidRPr="002217BA" w:rsidRDefault="00010384" w:rsidP="00A61B6E">
      <w:pPr>
        <w:pStyle w:val="Footnote"/>
      </w:pPr>
      <w:r w:rsidRPr="002217BA">
        <w:rPr>
          <w:rStyle w:val="FootnoteReference"/>
          <w:szCs w:val="18"/>
        </w:rPr>
        <w:footnoteRef/>
      </w:r>
      <w:r w:rsidRPr="002217BA">
        <w:t xml:space="preserve"> SDG&amp;E’s CPP program is open to customers with maximum demand exceeding 20kW, while the minimum threshold at both PG&amp;E and SCE is 200kW.</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Default="00010384">
    <w:pPr>
      <w:pStyle w:val="Header"/>
    </w:pPr>
    <w:r>
      <w:rPr>
        <w:noProof/>
      </w:rPr>
      <mc:AlternateContent>
        <mc:Choice Requires="wps">
          <w:drawing>
            <wp:inline distT="0" distB="0" distL="0" distR="0">
              <wp:extent cx="6017895" cy="0"/>
              <wp:effectExtent l="0" t="0" r="20955" b="19050"/>
              <wp:docPr id="52"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789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22" o:spid="_x0000_s1026"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" strokecolor="#5f497a [2407]">
              <w10:anchorlock/>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Default="00010384" w:rsidP="00DB35F9">
    <w:pPr>
      <w:pStyle w:val="Header"/>
      <w:tabs>
        <w:tab w:val="left" w:pos="360"/>
        <w:tab w:val="left" w:pos="8910"/>
        <w:tab w:val="left" w:pos="9000"/>
      </w:tabs>
    </w:pPr>
    <w:r>
      <w:rPr>
        <w:noProof/>
      </w:rPr>
      <mc:AlternateContent>
        <mc:Choice Requires="wps">
          <w:drawing>
            <wp:inline distT="0" distB="0" distL="0" distR="0" wp14:anchorId="051B4F4B" wp14:editId="03BDA29A">
              <wp:extent cx="6017895" cy="0"/>
              <wp:effectExtent l="0" t="0" r="20955" b="19050"/>
              <wp:docPr id="45"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789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16" o:spid="_x0000_s1026"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" strokecolor="#5f497a [2407]">
              <w10:anchorlock/>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Default="00010384" w:rsidP="00DB35F9">
    <w:pPr>
      <w:pStyle w:val="Header"/>
      <w:tabs>
        <w:tab w:val="left" w:pos="360"/>
        <w:tab w:val="left" w:pos="8910"/>
        <w:tab w:val="left" w:pos="9000"/>
      </w:tabs>
    </w:pPr>
    <w:r>
      <w:rPr>
        <w:noProof/>
      </w:rPr>
      <mc:AlternateContent>
        <mc:Choice Requires="wps">
          <w:drawing>
            <wp:inline distT="0" distB="0" distL="0" distR="0" wp14:anchorId="1D13A3D2" wp14:editId="158079C5">
              <wp:extent cx="8080375" cy="0"/>
              <wp:effectExtent l="0" t="0" r="15875" b="19050"/>
              <wp:docPr id="44"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8037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15" o:spid="_x0000_s1026" type="#_x0000_t32" style="width:636.2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" strokecolor="#5f497a [2407]">
              <w10:anchorlock/>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Default="00010384" w:rsidP="00DB35F9">
    <w:pPr>
      <w:pStyle w:val="Header"/>
      <w:tabs>
        <w:tab w:val="left" w:pos="360"/>
        <w:tab w:val="left" w:pos="8910"/>
        <w:tab w:val="left" w:pos="9000"/>
      </w:tabs>
    </w:pPr>
    <w:r>
      <w:rPr>
        <w:noProof/>
      </w:rPr>
      <mc:AlternateContent>
        <mc:Choice Requires="wps">
          <w:drawing>
            <wp:inline distT="0" distB="0" distL="0" distR="0">
              <wp:extent cx="6017895" cy="0"/>
              <wp:effectExtent l="0" t="0" r="20955" b="19050"/>
              <wp:docPr id="43"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789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14" o:spid="_x0000_s1026"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" strokecolor="#5f497a [2407]">
              <w10:anchorlock/>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Default="00010384" w:rsidP="00DB35F9">
    <w:pPr>
      <w:pStyle w:val="Header"/>
      <w:tabs>
        <w:tab w:val="left" w:pos="360"/>
        <w:tab w:val="left" w:pos="8910"/>
        <w:tab w:val="left" w:pos="9000"/>
      </w:tabs>
    </w:pPr>
    <w:r w:rsidRPr="00EB2941">
      <w:rPr>
        <w:noProof/>
      </w:rPr>
      <w:drawing>
        <wp:inline distT="0" distB="0" distL="0" distR="0">
          <wp:extent cx="4274185" cy="690880"/>
          <wp:effectExtent l="19050" t="0" r="0" b="0"/>
          <wp:docPr id="8" name="Picture 1"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C Logo NEW PURPLE 2007"/>
                  <pic:cNvPicPr>
                    <a:picLocks noChangeAspect="1" noChangeArrowheads="1"/>
                  </pic:cNvPicPr>
                </pic:nvPicPr>
                <pic:blipFill>
                  <a:blip r:embed="rId1" cstate="print"/>
                  <a:srcRect t="21506"/>
                  <a:stretch>
                    <a:fillRect/>
                  </a:stretch>
                </pic:blipFill>
                <pic:spPr bwMode="auto">
                  <a:xfrm>
                    <a:off x="0" y="0"/>
                    <a:ext cx="4274185" cy="69088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Default="00010384" w:rsidP="001E3B5B">
    <w:pPr>
      <w:pStyle w:val="Header"/>
      <w:tabs>
        <w:tab w:val="left" w:pos="360"/>
        <w:tab w:val="left" w:pos="8910"/>
        <w:tab w:val="left" w:pos="9000"/>
      </w:tabs>
    </w:pPr>
    <w:r>
      <w:rPr>
        <w:noProof/>
      </w:rPr>
      <mc:AlternateContent>
        <mc:Choice Requires="wps">
          <w:drawing>
            <wp:inline distT="0" distB="0" distL="0" distR="0">
              <wp:extent cx="6017895" cy="0"/>
              <wp:effectExtent l="0" t="0" r="20955" b="19050"/>
              <wp:docPr id="33"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789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16" o:spid="_x0000_s1026"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" strokecolor="#5f497a [2407]">
              <w10:anchorlock/>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Default="00010384" w:rsidP="001E3B5B">
    <w:pPr>
      <w:pStyle w:val="Header"/>
      <w:jc w:val="center"/>
    </w:pPr>
    <w:r w:rsidRPr="00E92F4E">
      <w:rPr>
        <w:noProof/>
      </w:rPr>
      <w:drawing>
        <wp:inline distT="0" distB="0" distL="0" distR="0">
          <wp:extent cx="2243455" cy="999490"/>
          <wp:effectExtent l="19050" t="0" r="4445"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2243455" cy="999490"/>
                  </a:xfrm>
                  <a:prstGeom prst="rect">
                    <a:avLst/>
                  </a:prstGeom>
                  <a:noFill/>
                  <a:ln w="9525">
                    <a:noFill/>
                    <a:miter lim="800000"/>
                    <a:headEnd/>
                    <a:tailEnd/>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Pr="0017324B" w:rsidRDefault="00010384" w:rsidP="001E3B5B">
    <w:pPr>
      <w:pStyle w:val="Header"/>
      <w:tabs>
        <w:tab w:val="clear" w:pos="4320"/>
        <w:tab w:val="clear" w:pos="8640"/>
        <w:tab w:val="left" w:pos="1827"/>
      </w:tabs>
      <w:rPr>
        <w:sz w:val="2"/>
        <w:szCs w:val="2"/>
      </w:rPr>
    </w:pPr>
    <w:r>
      <w:rPr>
        <w:noProof/>
        <w:sz w:val="2"/>
        <w:szCs w:val="2"/>
      </w:rPr>
      <mc:AlternateContent>
        <mc:Choice Requires="wps">
          <w:drawing>
            <wp:anchor distT="4294967293" distB="4294967293" distL="114300" distR="114300" simplePos="0" relativeHeight="251665408" behindDoc="0" locked="0" layoutInCell="1" allowOverlap="1">
              <wp:simplePos x="0" y="0"/>
              <wp:positionH relativeFrom="column">
                <wp:posOffset>5080</wp:posOffset>
              </wp:positionH>
              <wp:positionV relativeFrom="paragraph">
                <wp:posOffset>-100966</wp:posOffset>
              </wp:positionV>
              <wp:extent cx="9105265" cy="0"/>
              <wp:effectExtent l="0" t="0" r="19685" b="19050"/>
              <wp:wrapNone/>
              <wp:docPr id="32"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0526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20" o:spid="_x0000_s1026" type="#_x0000_t32" style="position:absolute;margin-left:.4pt;margin-top:-7.95pt;width:716.95pt;height:0;z-index:25166540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" strokecolor="#5f497a [2407]"/>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Default="00010384" w:rsidP="003762BD">
    <w:pPr>
      <w:pStyle w:val="Header"/>
      <w:tabs>
        <w:tab w:val="clear" w:pos="4320"/>
        <w:tab w:val="clear" w:pos="8640"/>
        <w:tab w:val="left" w:pos="1827"/>
      </w:tabs>
    </w:pPr>
    <w:r>
      <w:rPr>
        <w:noProof/>
      </w:rPr>
      <mc:AlternateContent>
        <mc:Choice Requires="wps">
          <w:drawing>
            <wp:inline distT="0" distB="0" distL="0" distR="0" wp14:anchorId="5A03C1E6" wp14:editId="5D32694C">
              <wp:extent cx="6017895" cy="0"/>
              <wp:effectExtent l="0" t="0" r="20955" b="19050"/>
              <wp:docPr id="49"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789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20" o:spid="_x0000_s1026"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" strokecolor="#5f497a [2407]">
              <w10:anchorlock/>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Default="00010384" w:rsidP="00DB35F9">
    <w:pPr>
      <w:pStyle w:val="Header"/>
      <w:tabs>
        <w:tab w:val="left" w:pos="360"/>
        <w:tab w:val="left" w:pos="8910"/>
        <w:tab w:val="left" w:pos="9000"/>
      </w:tabs>
    </w:pPr>
    <w:r>
      <w:rPr>
        <w:noProof/>
      </w:rPr>
      <mc:AlternateContent>
        <mc:Choice Requires="wps">
          <w:drawing>
            <wp:inline distT="0" distB="0" distL="0" distR="0" wp14:anchorId="71FE7328" wp14:editId="4994AA9C">
              <wp:extent cx="8584565" cy="0"/>
              <wp:effectExtent l="0" t="0" r="26035" b="19050"/>
              <wp:docPr id="48"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8456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10" o:spid="_x0000_s1026" type="#_x0000_t32" style="width:675.9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" strokecolor="#5f497a [2407]">
              <w10:anchorlock/>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Default="00010384" w:rsidP="00DB35F9">
    <w:pPr>
      <w:pStyle w:val="Header"/>
      <w:tabs>
        <w:tab w:val="left" w:pos="360"/>
        <w:tab w:val="left" w:pos="8910"/>
        <w:tab w:val="left" w:pos="9000"/>
      </w:tabs>
    </w:pPr>
    <w:r>
      <w:rPr>
        <w:noProof/>
      </w:rPr>
      <mc:AlternateContent>
        <mc:Choice Requires="wps">
          <w:drawing>
            <wp:inline distT="0" distB="0" distL="0" distR="0" wp14:anchorId="6761FDDC" wp14:editId="3554BCEF">
              <wp:extent cx="6017895" cy="0"/>
              <wp:effectExtent l="0" t="0" r="20955" b="19050"/>
              <wp:docPr id="47"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789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18" o:spid="_x0000_s1026"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" strokecolor="#5f497a [2407]">
              <w10:anchorlock/>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384" w:rsidRDefault="00010384" w:rsidP="00DB35F9">
    <w:pPr>
      <w:pStyle w:val="Header"/>
      <w:tabs>
        <w:tab w:val="left" w:pos="360"/>
        <w:tab w:val="left" w:pos="8910"/>
        <w:tab w:val="left" w:pos="9000"/>
      </w:tabs>
    </w:pPr>
    <w:r>
      <w:rPr>
        <w:noProof/>
      </w:rPr>
      <mc:AlternateContent>
        <mc:Choice Requires="wps">
          <w:drawing>
            <wp:inline distT="0" distB="0" distL="0" distR="0" wp14:anchorId="0EE0F8C4" wp14:editId="67B425CE">
              <wp:extent cx="8289925" cy="0"/>
              <wp:effectExtent l="0" t="0" r="15875" b="19050"/>
              <wp:docPr id="46"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89925" cy="0"/>
                      </a:xfrm>
                      <a:prstGeom prst="straightConnector1">
                        <a:avLst/>
                      </a:prstGeom>
                      <a:noFill/>
                      <a:ln w="9525">
                        <a:solidFill>
                          <a:schemeClr val="accent4">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AutoShape 17" o:spid="_x0000_s1026" type="#_x0000_t32" style="width:652.7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" strokecolor="#5f497a [2407]">
              <w10:anchorlock/>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F33D8"/>
    <w:multiLevelType w:val="hybridMultilevel"/>
    <w:tmpl w:val="61346B64"/>
    <w:lvl w:ilvl="0" w:tplc="FFFFFFFF">
      <w:start w:val="1"/>
      <w:numFmt w:val="bullet"/>
      <w:pStyle w:val="Bullet"/>
      <w:lvlText w:val=""/>
      <w:lvlJc w:val="left"/>
      <w:pPr>
        <w:tabs>
          <w:tab w:val="num" w:pos="720"/>
        </w:tabs>
        <w:ind w:left="720" w:hanging="360"/>
      </w:pPr>
      <w:rPr>
        <w:rFonts w:ascii="Wingdings" w:hAnsi="Wingdings" w:hint="default"/>
        <w:color w:val="433B67"/>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62F5674"/>
    <w:multiLevelType w:val="hybridMultilevel"/>
    <w:tmpl w:val="652A9A1E"/>
    <w:lvl w:ilvl="0" w:tplc="F5241B0E">
      <w:start w:val="6"/>
      <w:numFmt w:val="decimal"/>
      <w:pStyle w:val="NumbersLas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6A593E"/>
    <w:multiLevelType w:val="hybridMultilevel"/>
    <w:tmpl w:val="2D324F66"/>
    <w:lvl w:ilvl="0" w:tplc="4A6091AE">
      <w:start w:val="1"/>
      <w:numFmt w:val="bullet"/>
      <w:pStyle w:val="Bullets"/>
      <w:lvlText w:val=""/>
      <w:lvlJc w:val="left"/>
      <w:pPr>
        <w:tabs>
          <w:tab w:val="num" w:pos="720"/>
        </w:tabs>
        <w:ind w:left="720" w:hanging="360"/>
      </w:pPr>
      <w:rPr>
        <w:rFonts w:ascii="Wingdings" w:hAnsi="Wingdings" w:hint="default"/>
        <w:color w:val="433B67"/>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A7561E2"/>
    <w:multiLevelType w:val="hybridMultilevel"/>
    <w:tmpl w:val="6F6C1304"/>
    <w:lvl w:ilvl="0" w:tplc="FB1E35EA">
      <w:start w:val="1"/>
      <w:numFmt w:val="decimal"/>
      <w:pStyle w:val="Numbers"/>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60E263D"/>
    <w:multiLevelType w:val="multilevel"/>
    <w:tmpl w:val="E6A26B6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486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nsid w:val="27466AB5"/>
    <w:multiLevelType w:val="multilevel"/>
    <w:tmpl w:val="6B2CD62E"/>
    <w:styleLink w:val="NumberedSteps"/>
    <w:lvl w:ilvl="0">
      <w:start w:val="1"/>
      <w:numFmt w:val="decimal"/>
      <w:lvlText w:val="%1"/>
      <w:lvlJc w:val="left"/>
      <w:pPr>
        <w:tabs>
          <w:tab w:val="num" w:pos="720"/>
        </w:tabs>
        <w:ind w:left="720" w:hanging="360"/>
      </w:pPr>
      <w:rPr>
        <w:rFonts w:ascii="Arial" w:hAnsi="Arial"/>
        <w:dstrike w:val="0"/>
        <w:color w:val="auto"/>
        <w:sz w:val="22"/>
        <w:vertAlign w:val="baseline"/>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nsid w:val="64497E68"/>
    <w:multiLevelType w:val="multilevel"/>
    <w:tmpl w:val="31BA2902"/>
    <w:lvl w:ilvl="0">
      <w:start w:val="1"/>
      <w:numFmt w:val="upperLetter"/>
      <w:pStyle w:val="AppendixHeading"/>
      <w:lvlText w:val="Appendix %1"/>
      <w:lvlJc w:val="left"/>
      <w:pPr>
        <w:ind w:left="360" w:hanging="360"/>
      </w:pPr>
      <w:rPr>
        <w:rFonts w:hint="default"/>
        <w:b/>
        <w:bCs w:val="0"/>
        <w:i w:val="0"/>
        <w:iCs w:val="0"/>
        <w:caps w:val="0"/>
        <w:smallCaps w:val="0"/>
        <w:strike w:val="0"/>
        <w:dstrike w:val="0"/>
        <w:noProof w:val="0"/>
        <w:snapToGrid w:val="0"/>
        <w:vanish w:val="0"/>
        <w:color w:val="403152" w:themeColor="accent4" w:themeShade="80"/>
        <w:spacing w:val="0"/>
        <w:w w:val="0"/>
        <w:kern w:val="0"/>
        <w:position w:val="0"/>
        <w:szCs w:val="0"/>
        <w:u w:val="none"/>
        <w:vertAlign w:val="baseline"/>
        <w:em w:val="none"/>
      </w:rPr>
    </w:lvl>
    <w:lvl w:ilvl="1">
      <w:start w:val="1"/>
      <w:numFmt w:val="decimal"/>
      <w:pStyle w:val="AppendixHeading2"/>
      <w:lvlText w:val="%1.%2"/>
      <w:lvlJc w:val="left"/>
      <w:pPr>
        <w:ind w:left="3222" w:hanging="432"/>
      </w:pPr>
      <w:rPr>
        <w:rFonts w:ascii="Verdana" w:hAnsi="Verdana" w:cs="Arial" w:hint="default"/>
        <w:b/>
        <w:bCs w:val="0"/>
        <w:i w:val="0"/>
        <w:iCs w:val="0"/>
        <w:caps w:val="0"/>
        <w:smallCaps w:val="0"/>
        <w:strike w:val="0"/>
        <w:dstrike w:val="0"/>
        <w:noProof w:val="0"/>
        <w:snapToGrid w:val="0"/>
        <w:vanish w:val="0"/>
        <w:color w:val="403152" w:themeColor="accent4" w:themeShade="80"/>
        <w:spacing w:val="0"/>
        <w:w w:val="0"/>
        <w:kern w:val="0"/>
        <w:position w:val="0"/>
        <w:szCs w:val="0"/>
        <w:u w:val="none"/>
        <w:vertAlign w:val="baseline"/>
        <w:em w:val="none"/>
      </w:rPr>
    </w:lvl>
    <w:lvl w:ilvl="2">
      <w:start w:val="1"/>
      <w:numFmt w:val="decimal"/>
      <w:pStyle w:val="AppendixHeading3"/>
      <w:lvlText w:val="%1.%2.%3"/>
      <w:lvlJc w:val="left"/>
      <w:pPr>
        <w:ind w:left="1494" w:hanging="504"/>
      </w:pPr>
      <w:rPr>
        <w:rFonts w:ascii="Verdana" w:hAnsi="Verdana" w:cs="Arial" w:hint="default"/>
        <w:b/>
        <w:bCs w:val="0"/>
        <w:i w:val="0"/>
        <w:iCs w:val="0"/>
        <w:caps w:val="0"/>
        <w:smallCaps w:val="0"/>
        <w:strike w:val="0"/>
        <w:dstrike w:val="0"/>
        <w:noProof w:val="0"/>
        <w:snapToGrid w:val="0"/>
        <w:vanish w:val="0"/>
        <w:color w:val="403152" w:themeColor="accent4" w:themeShade="80"/>
        <w:spacing w:val="0"/>
        <w:w w:val="0"/>
        <w:kern w:val="0"/>
        <w:position w:val="0"/>
        <w:sz w:val="26"/>
        <w:szCs w:val="26"/>
        <w:u w:val="none"/>
        <w:vertAlign w:val="baseline"/>
        <w:em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6D0F2EE8"/>
    <w:multiLevelType w:val="multilevel"/>
    <w:tmpl w:val="9F68006A"/>
    <w:styleLink w:val="Numbered"/>
    <w:lvl w:ilvl="0">
      <w:start w:val="1"/>
      <w:numFmt w:val="decimal"/>
      <w:lvlText w:val="%1"/>
      <w:lvlJc w:val="left"/>
      <w:pPr>
        <w:tabs>
          <w:tab w:val="num" w:pos="720"/>
        </w:tabs>
        <w:ind w:left="720" w:hanging="360"/>
      </w:pPr>
      <w:rPr>
        <w:rFonts w:ascii="Arial" w:hAnsi="Arial"/>
        <w:dstrike w:val="0"/>
        <w:color w:val="000000" w:themeColor="text1"/>
        <w:sz w:val="22"/>
        <w:vertAlign w:val="baseline"/>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6"/>
  </w:num>
  <w:num w:numId="3">
    <w:abstractNumId w:val="4"/>
  </w:num>
  <w:num w:numId="4">
    <w:abstractNumId w:val="7"/>
  </w:num>
  <w:num w:numId="5">
    <w:abstractNumId w:val="5"/>
  </w:num>
  <w:num w:numId="6">
    <w:abstractNumId w:val="3"/>
  </w:num>
  <w:num w:numId="7">
    <w:abstractNumId w:val="1"/>
  </w:num>
  <w:num w:numId="8">
    <w:abstractNumId w:val="0"/>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drawingGridHorizontalSpacing w:val="110"/>
  <w:displayHorizontalDrawingGridEvery w:val="2"/>
  <w:characterSpacingControl w:val="doNotCompress"/>
  <w:hdrShapeDefaults>
    <o:shapedefaults v:ext="edit" spidmax="14337" fillcolor="none [3207]" strokecolor="none [3041]">
      <v:fill color="none [3207]"/>
      <v:stroke color="none [3041]" weight="3pt"/>
      <v:shadow on="t" type="perspective" color="none [1607]" opacity=".5" offset="1pt" offset2="-1pt"/>
      <o:colormenu v:ext="edit" strokecolor="none" shadowcolor="non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6E36"/>
    <w:rsid w:val="00010384"/>
    <w:rsid w:val="0001163F"/>
    <w:rsid w:val="00011FBA"/>
    <w:rsid w:val="0001340F"/>
    <w:rsid w:val="00014A86"/>
    <w:rsid w:val="000171C5"/>
    <w:rsid w:val="00020BC6"/>
    <w:rsid w:val="0002103E"/>
    <w:rsid w:val="00026EBD"/>
    <w:rsid w:val="0003629F"/>
    <w:rsid w:val="00040C8D"/>
    <w:rsid w:val="00041269"/>
    <w:rsid w:val="0004199B"/>
    <w:rsid w:val="0005510D"/>
    <w:rsid w:val="0005598B"/>
    <w:rsid w:val="00056D0A"/>
    <w:rsid w:val="00057782"/>
    <w:rsid w:val="0006172C"/>
    <w:rsid w:val="00062C83"/>
    <w:rsid w:val="00070CF7"/>
    <w:rsid w:val="00075987"/>
    <w:rsid w:val="00081078"/>
    <w:rsid w:val="00085C93"/>
    <w:rsid w:val="000921FA"/>
    <w:rsid w:val="00094E3A"/>
    <w:rsid w:val="000A6976"/>
    <w:rsid w:val="000A7C55"/>
    <w:rsid w:val="000C5046"/>
    <w:rsid w:val="000C6077"/>
    <w:rsid w:val="000C7D91"/>
    <w:rsid w:val="000E3BA5"/>
    <w:rsid w:val="000E7132"/>
    <w:rsid w:val="000F058C"/>
    <w:rsid w:val="000F341F"/>
    <w:rsid w:val="00107177"/>
    <w:rsid w:val="00110726"/>
    <w:rsid w:val="00127E49"/>
    <w:rsid w:val="00134D4B"/>
    <w:rsid w:val="00137F86"/>
    <w:rsid w:val="00142ACF"/>
    <w:rsid w:val="00150F8D"/>
    <w:rsid w:val="00157BFA"/>
    <w:rsid w:val="00160EBB"/>
    <w:rsid w:val="00163508"/>
    <w:rsid w:val="00175FFC"/>
    <w:rsid w:val="0017622A"/>
    <w:rsid w:val="00176966"/>
    <w:rsid w:val="0017741E"/>
    <w:rsid w:val="001777B3"/>
    <w:rsid w:val="00183374"/>
    <w:rsid w:val="00192CF8"/>
    <w:rsid w:val="001965D0"/>
    <w:rsid w:val="00196F33"/>
    <w:rsid w:val="001A15CC"/>
    <w:rsid w:val="001A696C"/>
    <w:rsid w:val="001A71A9"/>
    <w:rsid w:val="001B0ACB"/>
    <w:rsid w:val="001B0E2B"/>
    <w:rsid w:val="001B352B"/>
    <w:rsid w:val="001B43DF"/>
    <w:rsid w:val="001B493E"/>
    <w:rsid w:val="001B623F"/>
    <w:rsid w:val="001C1F7B"/>
    <w:rsid w:val="001C4623"/>
    <w:rsid w:val="001C6CED"/>
    <w:rsid w:val="001D0255"/>
    <w:rsid w:val="001D1B5A"/>
    <w:rsid w:val="001D3BCA"/>
    <w:rsid w:val="001E1035"/>
    <w:rsid w:val="001E322F"/>
    <w:rsid w:val="001E35A3"/>
    <w:rsid w:val="001E3B5B"/>
    <w:rsid w:val="001E435E"/>
    <w:rsid w:val="001E4F10"/>
    <w:rsid w:val="001E5A26"/>
    <w:rsid w:val="001E7B77"/>
    <w:rsid w:val="001F5A6D"/>
    <w:rsid w:val="001F6EFE"/>
    <w:rsid w:val="00202DB9"/>
    <w:rsid w:val="00206FF8"/>
    <w:rsid w:val="002077EA"/>
    <w:rsid w:val="0021093D"/>
    <w:rsid w:val="00211B4A"/>
    <w:rsid w:val="00213694"/>
    <w:rsid w:val="00215249"/>
    <w:rsid w:val="00216600"/>
    <w:rsid w:val="00224B4E"/>
    <w:rsid w:val="00230675"/>
    <w:rsid w:val="002436C1"/>
    <w:rsid w:val="00250D51"/>
    <w:rsid w:val="00252FAF"/>
    <w:rsid w:val="002548CB"/>
    <w:rsid w:val="00256196"/>
    <w:rsid w:val="0026741A"/>
    <w:rsid w:val="00267644"/>
    <w:rsid w:val="00272C6A"/>
    <w:rsid w:val="00276070"/>
    <w:rsid w:val="002842C9"/>
    <w:rsid w:val="0028548F"/>
    <w:rsid w:val="002875E4"/>
    <w:rsid w:val="002947A7"/>
    <w:rsid w:val="0029601C"/>
    <w:rsid w:val="00296B4C"/>
    <w:rsid w:val="002A5CA4"/>
    <w:rsid w:val="002A6B02"/>
    <w:rsid w:val="002A7946"/>
    <w:rsid w:val="002B17F2"/>
    <w:rsid w:val="002B5AC6"/>
    <w:rsid w:val="002B5AF2"/>
    <w:rsid w:val="002B62BF"/>
    <w:rsid w:val="002B689D"/>
    <w:rsid w:val="002C0B6C"/>
    <w:rsid w:val="002C0D82"/>
    <w:rsid w:val="002C32AA"/>
    <w:rsid w:val="002C51E0"/>
    <w:rsid w:val="002C5BF9"/>
    <w:rsid w:val="002E23B8"/>
    <w:rsid w:val="002E3233"/>
    <w:rsid w:val="002E6D34"/>
    <w:rsid w:val="002F0046"/>
    <w:rsid w:val="002F60B8"/>
    <w:rsid w:val="002F7B0D"/>
    <w:rsid w:val="00302B79"/>
    <w:rsid w:val="003045C7"/>
    <w:rsid w:val="00305437"/>
    <w:rsid w:val="003076DE"/>
    <w:rsid w:val="0031055C"/>
    <w:rsid w:val="003121A3"/>
    <w:rsid w:val="0031398A"/>
    <w:rsid w:val="00313B12"/>
    <w:rsid w:val="00320D15"/>
    <w:rsid w:val="00324B30"/>
    <w:rsid w:val="00334712"/>
    <w:rsid w:val="0033710A"/>
    <w:rsid w:val="00340FC0"/>
    <w:rsid w:val="00344C3B"/>
    <w:rsid w:val="00347352"/>
    <w:rsid w:val="00347E6A"/>
    <w:rsid w:val="00352740"/>
    <w:rsid w:val="003559F3"/>
    <w:rsid w:val="0035730B"/>
    <w:rsid w:val="00357401"/>
    <w:rsid w:val="0036226B"/>
    <w:rsid w:val="00365361"/>
    <w:rsid w:val="00367625"/>
    <w:rsid w:val="003708D4"/>
    <w:rsid w:val="003762BD"/>
    <w:rsid w:val="00382501"/>
    <w:rsid w:val="003850B4"/>
    <w:rsid w:val="00385706"/>
    <w:rsid w:val="00393B5B"/>
    <w:rsid w:val="00394A69"/>
    <w:rsid w:val="003A0F85"/>
    <w:rsid w:val="003A2610"/>
    <w:rsid w:val="003A4086"/>
    <w:rsid w:val="003A4BA1"/>
    <w:rsid w:val="003A7135"/>
    <w:rsid w:val="003B0F44"/>
    <w:rsid w:val="003B22FA"/>
    <w:rsid w:val="003B56F5"/>
    <w:rsid w:val="003C0E63"/>
    <w:rsid w:val="003C335C"/>
    <w:rsid w:val="003C5A65"/>
    <w:rsid w:val="003D1817"/>
    <w:rsid w:val="003D1CED"/>
    <w:rsid w:val="003D548A"/>
    <w:rsid w:val="003D5C9E"/>
    <w:rsid w:val="003D68A0"/>
    <w:rsid w:val="003E29C4"/>
    <w:rsid w:val="003E43D8"/>
    <w:rsid w:val="003F58C2"/>
    <w:rsid w:val="003F699E"/>
    <w:rsid w:val="00400A6A"/>
    <w:rsid w:val="00401BB5"/>
    <w:rsid w:val="00405872"/>
    <w:rsid w:val="00411399"/>
    <w:rsid w:val="00420413"/>
    <w:rsid w:val="00423629"/>
    <w:rsid w:val="00434545"/>
    <w:rsid w:val="004346D9"/>
    <w:rsid w:val="00436018"/>
    <w:rsid w:val="00444746"/>
    <w:rsid w:val="0045025A"/>
    <w:rsid w:val="004577D7"/>
    <w:rsid w:val="00461621"/>
    <w:rsid w:val="0046277A"/>
    <w:rsid w:val="00471E92"/>
    <w:rsid w:val="00474005"/>
    <w:rsid w:val="00474450"/>
    <w:rsid w:val="00475903"/>
    <w:rsid w:val="004854E7"/>
    <w:rsid w:val="00493991"/>
    <w:rsid w:val="00497509"/>
    <w:rsid w:val="004A0625"/>
    <w:rsid w:val="004A318B"/>
    <w:rsid w:val="004A7028"/>
    <w:rsid w:val="004B171B"/>
    <w:rsid w:val="004B2B3B"/>
    <w:rsid w:val="004B3B91"/>
    <w:rsid w:val="004C47D8"/>
    <w:rsid w:val="004C75C6"/>
    <w:rsid w:val="004D16E5"/>
    <w:rsid w:val="004D3E97"/>
    <w:rsid w:val="004D43D3"/>
    <w:rsid w:val="004D528B"/>
    <w:rsid w:val="004D74A1"/>
    <w:rsid w:val="004E5D3E"/>
    <w:rsid w:val="004F15AF"/>
    <w:rsid w:val="004F19F6"/>
    <w:rsid w:val="004F1E92"/>
    <w:rsid w:val="004F7857"/>
    <w:rsid w:val="004F7A9D"/>
    <w:rsid w:val="005021BD"/>
    <w:rsid w:val="00502446"/>
    <w:rsid w:val="00504474"/>
    <w:rsid w:val="00506B7C"/>
    <w:rsid w:val="00511412"/>
    <w:rsid w:val="00511F34"/>
    <w:rsid w:val="0051228E"/>
    <w:rsid w:val="005167A3"/>
    <w:rsid w:val="00516A5C"/>
    <w:rsid w:val="00516E12"/>
    <w:rsid w:val="005269E2"/>
    <w:rsid w:val="00530AE7"/>
    <w:rsid w:val="00531F5B"/>
    <w:rsid w:val="00533ECF"/>
    <w:rsid w:val="005423F6"/>
    <w:rsid w:val="00544D21"/>
    <w:rsid w:val="005459BA"/>
    <w:rsid w:val="0054710A"/>
    <w:rsid w:val="005512F9"/>
    <w:rsid w:val="0055294D"/>
    <w:rsid w:val="005563B2"/>
    <w:rsid w:val="00557E13"/>
    <w:rsid w:val="005608E9"/>
    <w:rsid w:val="00564E9A"/>
    <w:rsid w:val="005656CE"/>
    <w:rsid w:val="00565A04"/>
    <w:rsid w:val="00570588"/>
    <w:rsid w:val="005727CF"/>
    <w:rsid w:val="005746A1"/>
    <w:rsid w:val="00575AF5"/>
    <w:rsid w:val="00577956"/>
    <w:rsid w:val="00580401"/>
    <w:rsid w:val="00583C89"/>
    <w:rsid w:val="00584A33"/>
    <w:rsid w:val="005876A6"/>
    <w:rsid w:val="00590E56"/>
    <w:rsid w:val="00591822"/>
    <w:rsid w:val="005924FF"/>
    <w:rsid w:val="00594679"/>
    <w:rsid w:val="005978C5"/>
    <w:rsid w:val="005B5474"/>
    <w:rsid w:val="005B66F6"/>
    <w:rsid w:val="005D003F"/>
    <w:rsid w:val="005D51F9"/>
    <w:rsid w:val="005E18C3"/>
    <w:rsid w:val="005E1A52"/>
    <w:rsid w:val="005E7516"/>
    <w:rsid w:val="005F0D2B"/>
    <w:rsid w:val="005F1759"/>
    <w:rsid w:val="005F3E29"/>
    <w:rsid w:val="005F5A4A"/>
    <w:rsid w:val="005F7C7A"/>
    <w:rsid w:val="00610001"/>
    <w:rsid w:val="00610BE3"/>
    <w:rsid w:val="00612BB8"/>
    <w:rsid w:val="006202E8"/>
    <w:rsid w:val="00625D18"/>
    <w:rsid w:val="00626371"/>
    <w:rsid w:val="00627B26"/>
    <w:rsid w:val="006331D6"/>
    <w:rsid w:val="00634B48"/>
    <w:rsid w:val="00637340"/>
    <w:rsid w:val="00643798"/>
    <w:rsid w:val="006455A7"/>
    <w:rsid w:val="006514E9"/>
    <w:rsid w:val="00653562"/>
    <w:rsid w:val="006541B9"/>
    <w:rsid w:val="006717E3"/>
    <w:rsid w:val="006722FF"/>
    <w:rsid w:val="00676F4D"/>
    <w:rsid w:val="006772E8"/>
    <w:rsid w:val="00680A25"/>
    <w:rsid w:val="00681EA7"/>
    <w:rsid w:val="00685B44"/>
    <w:rsid w:val="006947D9"/>
    <w:rsid w:val="006A2D3A"/>
    <w:rsid w:val="006A61DE"/>
    <w:rsid w:val="006A662D"/>
    <w:rsid w:val="006A6E40"/>
    <w:rsid w:val="006B0705"/>
    <w:rsid w:val="006B3D10"/>
    <w:rsid w:val="006B64EC"/>
    <w:rsid w:val="006C2750"/>
    <w:rsid w:val="006C2FEA"/>
    <w:rsid w:val="006C72D8"/>
    <w:rsid w:val="006D5FCF"/>
    <w:rsid w:val="006E1D89"/>
    <w:rsid w:val="006E2382"/>
    <w:rsid w:val="006E286C"/>
    <w:rsid w:val="006E374C"/>
    <w:rsid w:val="00702A03"/>
    <w:rsid w:val="00703EE8"/>
    <w:rsid w:val="0070711B"/>
    <w:rsid w:val="007107A6"/>
    <w:rsid w:val="0071105E"/>
    <w:rsid w:val="007173D7"/>
    <w:rsid w:val="00717FCF"/>
    <w:rsid w:val="00721E89"/>
    <w:rsid w:val="00726D5E"/>
    <w:rsid w:val="007324F4"/>
    <w:rsid w:val="007336EB"/>
    <w:rsid w:val="007419C6"/>
    <w:rsid w:val="0074223C"/>
    <w:rsid w:val="007463BB"/>
    <w:rsid w:val="00752687"/>
    <w:rsid w:val="00757FE6"/>
    <w:rsid w:val="007606E1"/>
    <w:rsid w:val="00760CE3"/>
    <w:rsid w:val="007715BA"/>
    <w:rsid w:val="00772A9D"/>
    <w:rsid w:val="007836DB"/>
    <w:rsid w:val="007870BA"/>
    <w:rsid w:val="0079472C"/>
    <w:rsid w:val="007A1B78"/>
    <w:rsid w:val="007A78AD"/>
    <w:rsid w:val="007B74A9"/>
    <w:rsid w:val="007C0785"/>
    <w:rsid w:val="007C1FE3"/>
    <w:rsid w:val="007C29F6"/>
    <w:rsid w:val="007C3387"/>
    <w:rsid w:val="007D3A89"/>
    <w:rsid w:val="007D4C9A"/>
    <w:rsid w:val="007D7B3C"/>
    <w:rsid w:val="007E27F3"/>
    <w:rsid w:val="007E42FD"/>
    <w:rsid w:val="007E68AA"/>
    <w:rsid w:val="007F078B"/>
    <w:rsid w:val="007F182D"/>
    <w:rsid w:val="007F3E09"/>
    <w:rsid w:val="007F5886"/>
    <w:rsid w:val="007F58A4"/>
    <w:rsid w:val="00804239"/>
    <w:rsid w:val="00822DF7"/>
    <w:rsid w:val="00823236"/>
    <w:rsid w:val="00823E25"/>
    <w:rsid w:val="00824815"/>
    <w:rsid w:val="00825D79"/>
    <w:rsid w:val="00827253"/>
    <w:rsid w:val="00830555"/>
    <w:rsid w:val="00832B87"/>
    <w:rsid w:val="00833444"/>
    <w:rsid w:val="00834427"/>
    <w:rsid w:val="00842AEA"/>
    <w:rsid w:val="00843187"/>
    <w:rsid w:val="0084569F"/>
    <w:rsid w:val="00850108"/>
    <w:rsid w:val="00850D16"/>
    <w:rsid w:val="00852826"/>
    <w:rsid w:val="008629BE"/>
    <w:rsid w:val="0086489C"/>
    <w:rsid w:val="0087138F"/>
    <w:rsid w:val="00872170"/>
    <w:rsid w:val="00872720"/>
    <w:rsid w:val="00872816"/>
    <w:rsid w:val="00873318"/>
    <w:rsid w:val="00873D05"/>
    <w:rsid w:val="00874CA9"/>
    <w:rsid w:val="00875B70"/>
    <w:rsid w:val="0087782E"/>
    <w:rsid w:val="00877990"/>
    <w:rsid w:val="00880E97"/>
    <w:rsid w:val="00884AB9"/>
    <w:rsid w:val="00891B6B"/>
    <w:rsid w:val="0089394C"/>
    <w:rsid w:val="00893A3F"/>
    <w:rsid w:val="0089767E"/>
    <w:rsid w:val="008A6A60"/>
    <w:rsid w:val="008B0930"/>
    <w:rsid w:val="008B59A5"/>
    <w:rsid w:val="008C1A5B"/>
    <w:rsid w:val="008C2D62"/>
    <w:rsid w:val="008C347F"/>
    <w:rsid w:val="008C7C2C"/>
    <w:rsid w:val="008D48E1"/>
    <w:rsid w:val="008E36A9"/>
    <w:rsid w:val="008E69F0"/>
    <w:rsid w:val="008E6E4B"/>
    <w:rsid w:val="008F4702"/>
    <w:rsid w:val="008F6908"/>
    <w:rsid w:val="00902079"/>
    <w:rsid w:val="0090561E"/>
    <w:rsid w:val="009063B1"/>
    <w:rsid w:val="0090782A"/>
    <w:rsid w:val="009109E3"/>
    <w:rsid w:val="00910EB3"/>
    <w:rsid w:val="00924B67"/>
    <w:rsid w:val="00926D9E"/>
    <w:rsid w:val="00930216"/>
    <w:rsid w:val="00943B63"/>
    <w:rsid w:val="00943CDE"/>
    <w:rsid w:val="0094682C"/>
    <w:rsid w:val="00947055"/>
    <w:rsid w:val="009479DA"/>
    <w:rsid w:val="00952173"/>
    <w:rsid w:val="00956A2E"/>
    <w:rsid w:val="00965107"/>
    <w:rsid w:val="00966314"/>
    <w:rsid w:val="00977880"/>
    <w:rsid w:val="009816E0"/>
    <w:rsid w:val="00984417"/>
    <w:rsid w:val="0098736A"/>
    <w:rsid w:val="00993363"/>
    <w:rsid w:val="00994CEF"/>
    <w:rsid w:val="009A482C"/>
    <w:rsid w:val="009A5CD1"/>
    <w:rsid w:val="009A62CE"/>
    <w:rsid w:val="009B1FE8"/>
    <w:rsid w:val="009B22A5"/>
    <w:rsid w:val="009B3149"/>
    <w:rsid w:val="009B6978"/>
    <w:rsid w:val="009C0139"/>
    <w:rsid w:val="009C15C4"/>
    <w:rsid w:val="009C55F2"/>
    <w:rsid w:val="009E076A"/>
    <w:rsid w:val="009E21D7"/>
    <w:rsid w:val="009E3F2C"/>
    <w:rsid w:val="009F0C34"/>
    <w:rsid w:val="009F2A8E"/>
    <w:rsid w:val="00A00461"/>
    <w:rsid w:val="00A02128"/>
    <w:rsid w:val="00A04229"/>
    <w:rsid w:val="00A102DA"/>
    <w:rsid w:val="00A14E68"/>
    <w:rsid w:val="00A160C2"/>
    <w:rsid w:val="00A16D32"/>
    <w:rsid w:val="00A20174"/>
    <w:rsid w:val="00A24367"/>
    <w:rsid w:val="00A36070"/>
    <w:rsid w:val="00A40A24"/>
    <w:rsid w:val="00A40B9A"/>
    <w:rsid w:val="00A41C3C"/>
    <w:rsid w:val="00A42B55"/>
    <w:rsid w:val="00A51E49"/>
    <w:rsid w:val="00A55A1F"/>
    <w:rsid w:val="00A574F0"/>
    <w:rsid w:val="00A61B6E"/>
    <w:rsid w:val="00A6555F"/>
    <w:rsid w:val="00A72A4C"/>
    <w:rsid w:val="00A72BAF"/>
    <w:rsid w:val="00A74BEA"/>
    <w:rsid w:val="00A7503D"/>
    <w:rsid w:val="00A76AFE"/>
    <w:rsid w:val="00A8324D"/>
    <w:rsid w:val="00A907B2"/>
    <w:rsid w:val="00A908B1"/>
    <w:rsid w:val="00A90983"/>
    <w:rsid w:val="00A91027"/>
    <w:rsid w:val="00A97AA9"/>
    <w:rsid w:val="00AA3BA6"/>
    <w:rsid w:val="00AA7150"/>
    <w:rsid w:val="00AB0FC8"/>
    <w:rsid w:val="00AB380F"/>
    <w:rsid w:val="00AC3023"/>
    <w:rsid w:val="00AC35E2"/>
    <w:rsid w:val="00AC6067"/>
    <w:rsid w:val="00AC6078"/>
    <w:rsid w:val="00AD6E36"/>
    <w:rsid w:val="00AE1CBB"/>
    <w:rsid w:val="00AE636A"/>
    <w:rsid w:val="00AF6C00"/>
    <w:rsid w:val="00B0567F"/>
    <w:rsid w:val="00B057E7"/>
    <w:rsid w:val="00B05BB0"/>
    <w:rsid w:val="00B06BF4"/>
    <w:rsid w:val="00B07122"/>
    <w:rsid w:val="00B07EFB"/>
    <w:rsid w:val="00B07F5F"/>
    <w:rsid w:val="00B133CC"/>
    <w:rsid w:val="00B1407C"/>
    <w:rsid w:val="00B15979"/>
    <w:rsid w:val="00B15D4F"/>
    <w:rsid w:val="00B16F30"/>
    <w:rsid w:val="00B1766B"/>
    <w:rsid w:val="00B23ABE"/>
    <w:rsid w:val="00B30455"/>
    <w:rsid w:val="00B3076A"/>
    <w:rsid w:val="00B34237"/>
    <w:rsid w:val="00B35082"/>
    <w:rsid w:val="00B36050"/>
    <w:rsid w:val="00B42152"/>
    <w:rsid w:val="00B42F39"/>
    <w:rsid w:val="00B439BA"/>
    <w:rsid w:val="00B50663"/>
    <w:rsid w:val="00B55177"/>
    <w:rsid w:val="00B56CD1"/>
    <w:rsid w:val="00B60C68"/>
    <w:rsid w:val="00B63286"/>
    <w:rsid w:val="00B76201"/>
    <w:rsid w:val="00B77E98"/>
    <w:rsid w:val="00B8049C"/>
    <w:rsid w:val="00B80615"/>
    <w:rsid w:val="00B81D97"/>
    <w:rsid w:val="00B86C76"/>
    <w:rsid w:val="00B949E3"/>
    <w:rsid w:val="00BA1B12"/>
    <w:rsid w:val="00BA2B85"/>
    <w:rsid w:val="00BA323B"/>
    <w:rsid w:val="00BA3459"/>
    <w:rsid w:val="00BC01BB"/>
    <w:rsid w:val="00BC02C6"/>
    <w:rsid w:val="00BC08F5"/>
    <w:rsid w:val="00BC213F"/>
    <w:rsid w:val="00BC33DA"/>
    <w:rsid w:val="00BC488D"/>
    <w:rsid w:val="00BC66BD"/>
    <w:rsid w:val="00BC6708"/>
    <w:rsid w:val="00BC7E9F"/>
    <w:rsid w:val="00BD145C"/>
    <w:rsid w:val="00BD250C"/>
    <w:rsid w:val="00BD382F"/>
    <w:rsid w:val="00BD46A5"/>
    <w:rsid w:val="00BD6DA7"/>
    <w:rsid w:val="00BD7DB9"/>
    <w:rsid w:val="00BE061F"/>
    <w:rsid w:val="00BE5AA0"/>
    <w:rsid w:val="00BE7892"/>
    <w:rsid w:val="00C00339"/>
    <w:rsid w:val="00C003A1"/>
    <w:rsid w:val="00C005B6"/>
    <w:rsid w:val="00C02506"/>
    <w:rsid w:val="00C053C2"/>
    <w:rsid w:val="00C1526E"/>
    <w:rsid w:val="00C205FA"/>
    <w:rsid w:val="00C2287B"/>
    <w:rsid w:val="00C23005"/>
    <w:rsid w:val="00C24882"/>
    <w:rsid w:val="00C26554"/>
    <w:rsid w:val="00C3306C"/>
    <w:rsid w:val="00C33F08"/>
    <w:rsid w:val="00C35770"/>
    <w:rsid w:val="00C40C92"/>
    <w:rsid w:val="00C42F86"/>
    <w:rsid w:val="00C449E9"/>
    <w:rsid w:val="00C4679B"/>
    <w:rsid w:val="00C4748D"/>
    <w:rsid w:val="00C537BD"/>
    <w:rsid w:val="00C55672"/>
    <w:rsid w:val="00C562FD"/>
    <w:rsid w:val="00C623D7"/>
    <w:rsid w:val="00C657E4"/>
    <w:rsid w:val="00C66141"/>
    <w:rsid w:val="00C81F2C"/>
    <w:rsid w:val="00C82C6B"/>
    <w:rsid w:val="00C92EB8"/>
    <w:rsid w:val="00C95BBA"/>
    <w:rsid w:val="00CA0C1C"/>
    <w:rsid w:val="00CA0D6E"/>
    <w:rsid w:val="00CA1BF4"/>
    <w:rsid w:val="00CA3AEF"/>
    <w:rsid w:val="00CA470C"/>
    <w:rsid w:val="00CA7949"/>
    <w:rsid w:val="00CB68A0"/>
    <w:rsid w:val="00CC02EA"/>
    <w:rsid w:val="00CC1D60"/>
    <w:rsid w:val="00CC2028"/>
    <w:rsid w:val="00CC2111"/>
    <w:rsid w:val="00CC4B63"/>
    <w:rsid w:val="00CC4FCD"/>
    <w:rsid w:val="00CC7840"/>
    <w:rsid w:val="00CD7AB5"/>
    <w:rsid w:val="00CE0204"/>
    <w:rsid w:val="00CE36F3"/>
    <w:rsid w:val="00CE47BF"/>
    <w:rsid w:val="00CE7497"/>
    <w:rsid w:val="00CF2025"/>
    <w:rsid w:val="00CF220D"/>
    <w:rsid w:val="00CF737D"/>
    <w:rsid w:val="00CF7B44"/>
    <w:rsid w:val="00CF7E2B"/>
    <w:rsid w:val="00D04113"/>
    <w:rsid w:val="00D04A27"/>
    <w:rsid w:val="00D058A3"/>
    <w:rsid w:val="00D104C8"/>
    <w:rsid w:val="00D132F6"/>
    <w:rsid w:val="00D14052"/>
    <w:rsid w:val="00D16723"/>
    <w:rsid w:val="00D17F17"/>
    <w:rsid w:val="00D21432"/>
    <w:rsid w:val="00D34C82"/>
    <w:rsid w:val="00D4143F"/>
    <w:rsid w:val="00D472B9"/>
    <w:rsid w:val="00D56C2A"/>
    <w:rsid w:val="00D64539"/>
    <w:rsid w:val="00D67500"/>
    <w:rsid w:val="00D773A3"/>
    <w:rsid w:val="00D80E42"/>
    <w:rsid w:val="00D81164"/>
    <w:rsid w:val="00D82A10"/>
    <w:rsid w:val="00D8636A"/>
    <w:rsid w:val="00D963CC"/>
    <w:rsid w:val="00D96FBD"/>
    <w:rsid w:val="00DA41F5"/>
    <w:rsid w:val="00DA5F7E"/>
    <w:rsid w:val="00DB313B"/>
    <w:rsid w:val="00DB35F9"/>
    <w:rsid w:val="00DC0EF5"/>
    <w:rsid w:val="00DD1452"/>
    <w:rsid w:val="00DD59EC"/>
    <w:rsid w:val="00DD6940"/>
    <w:rsid w:val="00DD775D"/>
    <w:rsid w:val="00DE0190"/>
    <w:rsid w:val="00DE245E"/>
    <w:rsid w:val="00DE5297"/>
    <w:rsid w:val="00DE679A"/>
    <w:rsid w:val="00DE74BB"/>
    <w:rsid w:val="00DF06D5"/>
    <w:rsid w:val="00DF10DB"/>
    <w:rsid w:val="00DF1A08"/>
    <w:rsid w:val="00DF2AB4"/>
    <w:rsid w:val="00DF3825"/>
    <w:rsid w:val="00E027F1"/>
    <w:rsid w:val="00E12F76"/>
    <w:rsid w:val="00E14841"/>
    <w:rsid w:val="00E14FE3"/>
    <w:rsid w:val="00E17557"/>
    <w:rsid w:val="00E21828"/>
    <w:rsid w:val="00E3542B"/>
    <w:rsid w:val="00E426D4"/>
    <w:rsid w:val="00E45445"/>
    <w:rsid w:val="00E54E0C"/>
    <w:rsid w:val="00E6034C"/>
    <w:rsid w:val="00E60837"/>
    <w:rsid w:val="00E61AB1"/>
    <w:rsid w:val="00E640AA"/>
    <w:rsid w:val="00E661DE"/>
    <w:rsid w:val="00E7185E"/>
    <w:rsid w:val="00E8076A"/>
    <w:rsid w:val="00E8093E"/>
    <w:rsid w:val="00E84A2F"/>
    <w:rsid w:val="00E9273B"/>
    <w:rsid w:val="00E932CF"/>
    <w:rsid w:val="00EA35B2"/>
    <w:rsid w:val="00EB135A"/>
    <w:rsid w:val="00EB22D8"/>
    <w:rsid w:val="00EB2941"/>
    <w:rsid w:val="00EC1170"/>
    <w:rsid w:val="00EC3065"/>
    <w:rsid w:val="00EC488A"/>
    <w:rsid w:val="00ED357C"/>
    <w:rsid w:val="00ED5724"/>
    <w:rsid w:val="00ED61A8"/>
    <w:rsid w:val="00EE0BC3"/>
    <w:rsid w:val="00EE0D36"/>
    <w:rsid w:val="00EE2483"/>
    <w:rsid w:val="00EE5649"/>
    <w:rsid w:val="00EE6B55"/>
    <w:rsid w:val="00EF0B5B"/>
    <w:rsid w:val="00EF0CAD"/>
    <w:rsid w:val="00EF12DF"/>
    <w:rsid w:val="00EF5842"/>
    <w:rsid w:val="00EF76C3"/>
    <w:rsid w:val="00F041CD"/>
    <w:rsid w:val="00F05D44"/>
    <w:rsid w:val="00F06346"/>
    <w:rsid w:val="00F104F9"/>
    <w:rsid w:val="00F155D1"/>
    <w:rsid w:val="00F15A2F"/>
    <w:rsid w:val="00F179F1"/>
    <w:rsid w:val="00F21899"/>
    <w:rsid w:val="00F24446"/>
    <w:rsid w:val="00F25968"/>
    <w:rsid w:val="00F31629"/>
    <w:rsid w:val="00F355DB"/>
    <w:rsid w:val="00F35959"/>
    <w:rsid w:val="00F4554F"/>
    <w:rsid w:val="00F46241"/>
    <w:rsid w:val="00F464B4"/>
    <w:rsid w:val="00F50280"/>
    <w:rsid w:val="00F50A5A"/>
    <w:rsid w:val="00F51DC3"/>
    <w:rsid w:val="00F535B2"/>
    <w:rsid w:val="00F538E3"/>
    <w:rsid w:val="00F5406B"/>
    <w:rsid w:val="00F7182E"/>
    <w:rsid w:val="00F74016"/>
    <w:rsid w:val="00F7642E"/>
    <w:rsid w:val="00F8199F"/>
    <w:rsid w:val="00F8514A"/>
    <w:rsid w:val="00F92345"/>
    <w:rsid w:val="00F926F0"/>
    <w:rsid w:val="00F92E49"/>
    <w:rsid w:val="00F97AB9"/>
    <w:rsid w:val="00FA5DBD"/>
    <w:rsid w:val="00FB0DDB"/>
    <w:rsid w:val="00FB143E"/>
    <w:rsid w:val="00FB7B42"/>
    <w:rsid w:val="00FC0F66"/>
    <w:rsid w:val="00FC7FFB"/>
    <w:rsid w:val="00FD4131"/>
    <w:rsid w:val="00FD4F5B"/>
    <w:rsid w:val="00FD51F4"/>
    <w:rsid w:val="00FE1D3E"/>
    <w:rsid w:val="00FE4F1A"/>
    <w:rsid w:val="00FE50C5"/>
    <w:rsid w:val="00FF2B1C"/>
    <w:rsid w:val="00FF38C8"/>
    <w:rsid w:val="00FF51A5"/>
    <w:rsid w:val="00FF6B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fillcolor="none [3207]" strokecolor="none [3041]">
      <v:fill color="none [3207]"/>
      <v:stroke color="none [3041]" weight="3pt"/>
      <v:shadow on="t" type="perspective" color="none [1607]" opacity=".5" offset="1pt" offset2="-1pt"/>
      <o:colormenu v:ext="edit" strokecolor="none" shadowcolor="non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Normal (Web)" w:uiPriority="0"/>
    <w:lsdException w:name="annotation subject" w:uiPriority="0"/>
    <w:lsdException w:name="Table Professional"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2941"/>
  </w:style>
  <w:style w:type="paragraph" w:styleId="Heading1">
    <w:name w:val="heading 1"/>
    <w:next w:val="BodyParagraph"/>
    <w:link w:val="Heading1Char"/>
    <w:uiPriority w:val="9"/>
    <w:qFormat/>
    <w:rsid w:val="00F535B2"/>
    <w:pPr>
      <w:keepNext/>
      <w:numPr>
        <w:numId w:val="3"/>
      </w:numPr>
      <w:spacing w:after="120" w:line="240" w:lineRule="auto"/>
      <w:outlineLvl w:val="0"/>
    </w:pPr>
    <w:rPr>
      <w:rFonts w:ascii="Verdana" w:eastAsia="Times New Roman" w:hAnsi="Verdana" w:cs="Times New Roman"/>
      <w:b/>
      <w:color w:val="403152" w:themeColor="accent4" w:themeShade="80"/>
      <w:sz w:val="28"/>
      <w:szCs w:val="28"/>
    </w:rPr>
  </w:style>
  <w:style w:type="paragraph" w:styleId="Heading2">
    <w:name w:val="heading 2"/>
    <w:basedOn w:val="Heading1"/>
    <w:next w:val="BodyParagraph"/>
    <w:link w:val="Heading2Char"/>
    <w:unhideWhenUsed/>
    <w:qFormat/>
    <w:rsid w:val="00F535B2"/>
    <w:pPr>
      <w:numPr>
        <w:ilvl w:val="1"/>
      </w:numPr>
      <w:ind w:left="720" w:hanging="720"/>
      <w:outlineLvl w:val="1"/>
    </w:pPr>
    <w:rPr>
      <w:rFonts w:eastAsiaTheme="majorEastAsia" w:cstheme="majorBidi"/>
      <w:bCs/>
      <w:sz w:val="26"/>
      <w:szCs w:val="26"/>
    </w:rPr>
  </w:style>
  <w:style w:type="paragraph" w:styleId="Heading3">
    <w:name w:val="heading 3"/>
    <w:basedOn w:val="Heading2"/>
    <w:next w:val="BodyParagraph"/>
    <w:link w:val="Heading3Char"/>
    <w:unhideWhenUsed/>
    <w:qFormat/>
    <w:rsid w:val="0086489C"/>
    <w:pPr>
      <w:keepLines/>
      <w:numPr>
        <w:ilvl w:val="2"/>
      </w:numPr>
      <w:ind w:left="720"/>
      <w:outlineLvl w:val="2"/>
    </w:pPr>
    <w:rPr>
      <w:bCs w:val="0"/>
    </w:rPr>
  </w:style>
  <w:style w:type="paragraph" w:styleId="Heading4">
    <w:name w:val="heading 4"/>
    <w:basedOn w:val="Normal"/>
    <w:next w:val="BodyParagraph"/>
    <w:link w:val="Heading4Char"/>
    <w:unhideWhenUsed/>
    <w:qFormat/>
    <w:rsid w:val="00F535B2"/>
    <w:pPr>
      <w:keepNext/>
      <w:keepLines/>
      <w:spacing w:before="200" w:after="0"/>
      <w:ind w:left="360"/>
      <w:outlineLvl w:val="3"/>
    </w:pPr>
    <w:rPr>
      <w:rFonts w:ascii="Arial" w:eastAsiaTheme="majorEastAsia" w:hAnsi="Arial" w:cs="Arial"/>
      <w:b/>
      <w:bCs/>
      <w:i/>
      <w:iCs/>
      <w:color w:val="403152" w:themeColor="accent4" w:themeShade="80"/>
      <w:sz w:val="24"/>
    </w:rPr>
  </w:style>
  <w:style w:type="paragraph" w:styleId="Heading5">
    <w:name w:val="heading 5"/>
    <w:basedOn w:val="Normal"/>
    <w:next w:val="Normal"/>
    <w:link w:val="Heading5Char"/>
    <w:uiPriority w:val="9"/>
    <w:unhideWhenUsed/>
    <w:qFormat/>
    <w:rsid w:val="0046277A"/>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46277A"/>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46277A"/>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46277A"/>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46277A"/>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2A6B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2A6B02"/>
    <w:rPr>
      <w:rFonts w:ascii="Tahoma" w:hAnsi="Tahoma" w:cs="Tahoma"/>
      <w:sz w:val="16"/>
      <w:szCs w:val="16"/>
    </w:rPr>
  </w:style>
  <w:style w:type="paragraph" w:customStyle="1" w:styleId="TitleHeader">
    <w:name w:val="Title Header"/>
    <w:qFormat/>
    <w:rsid w:val="002A6B02"/>
    <w:pPr>
      <w:spacing w:after="120" w:line="240" w:lineRule="auto"/>
    </w:pPr>
    <w:rPr>
      <w:rFonts w:ascii="Arial" w:eastAsia="Times New Roman" w:hAnsi="Arial" w:cs="Arial"/>
      <w:b/>
      <w:i/>
      <w:color w:val="FFFFFF"/>
      <w:sz w:val="24"/>
      <w:szCs w:val="24"/>
    </w:rPr>
  </w:style>
  <w:style w:type="paragraph" w:customStyle="1" w:styleId="TitleProposal">
    <w:name w:val="Title Proposal"/>
    <w:qFormat/>
    <w:rsid w:val="00F535B2"/>
    <w:pPr>
      <w:spacing w:after="400" w:line="240" w:lineRule="auto"/>
    </w:pPr>
    <w:rPr>
      <w:rFonts w:ascii="Verdana" w:eastAsia="Times New Roman" w:hAnsi="Verdana" w:cs="Arial"/>
      <w:b/>
      <w:color w:val="FFFFFF"/>
      <w:sz w:val="28"/>
      <w:szCs w:val="28"/>
    </w:rPr>
  </w:style>
  <w:style w:type="paragraph" w:customStyle="1" w:styleId="TitleAddress">
    <w:name w:val="Title Address"/>
    <w:qFormat/>
    <w:rsid w:val="00F535B2"/>
    <w:pPr>
      <w:tabs>
        <w:tab w:val="left" w:pos="3960"/>
      </w:tabs>
      <w:spacing w:after="400" w:line="240" w:lineRule="auto"/>
    </w:pPr>
    <w:rPr>
      <w:rFonts w:ascii="Verdana" w:eastAsia="Times New Roman" w:hAnsi="Verdana" w:cs="Arial"/>
      <w:b/>
      <w:color w:val="FFFFFF"/>
    </w:rPr>
  </w:style>
  <w:style w:type="paragraph" w:styleId="Footer">
    <w:name w:val="footer"/>
    <w:basedOn w:val="Normal"/>
    <w:link w:val="FooterChar"/>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FooterChar">
    <w:name w:val="Footer Char"/>
    <w:basedOn w:val="DefaultParagraphFont"/>
    <w:link w:val="Footer"/>
    <w:rsid w:val="002A6B02"/>
    <w:rPr>
      <w:rFonts w:ascii="Arial" w:eastAsia="Times New Roman" w:hAnsi="Arial" w:cs="Times New Roman"/>
      <w:szCs w:val="24"/>
    </w:rPr>
  </w:style>
  <w:style w:type="character" w:styleId="PageNumber">
    <w:name w:val="page number"/>
    <w:basedOn w:val="DefaultParagraphFont"/>
    <w:rsid w:val="002A6B02"/>
  </w:style>
  <w:style w:type="paragraph" w:styleId="Header">
    <w:name w:val="header"/>
    <w:basedOn w:val="Normal"/>
    <w:link w:val="HeaderChar"/>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HeaderChar">
    <w:name w:val="Header Char"/>
    <w:basedOn w:val="DefaultParagraphFont"/>
    <w:link w:val="Header"/>
    <w:rsid w:val="002A6B02"/>
    <w:rPr>
      <w:rFonts w:ascii="Arial" w:eastAsia="Times New Roman" w:hAnsi="Arial" w:cs="Times New Roman"/>
      <w:szCs w:val="24"/>
    </w:rPr>
  </w:style>
  <w:style w:type="paragraph" w:customStyle="1" w:styleId="PreparedFor">
    <w:name w:val="Prepared For"/>
    <w:rsid w:val="00F535B2"/>
    <w:pPr>
      <w:spacing w:before="400" w:after="120" w:line="240" w:lineRule="auto"/>
      <w:jc w:val="right"/>
    </w:pPr>
    <w:rPr>
      <w:rFonts w:ascii="Verdana" w:eastAsia="Times New Roman" w:hAnsi="Verdana" w:cs="Times New Roman"/>
      <w:i/>
      <w:szCs w:val="20"/>
    </w:rPr>
  </w:style>
  <w:style w:type="paragraph" w:customStyle="1" w:styleId="PreparedForCompany">
    <w:name w:val="Prepared For Company"/>
    <w:basedOn w:val="Normal"/>
    <w:qFormat/>
    <w:rsid w:val="00F535B2"/>
    <w:pPr>
      <w:spacing w:after="0" w:line="240" w:lineRule="auto"/>
      <w:jc w:val="right"/>
    </w:pPr>
    <w:rPr>
      <w:rFonts w:ascii="Verdana" w:eastAsia="Times New Roman" w:hAnsi="Verdana" w:cs="Times New Roman"/>
      <w:szCs w:val="24"/>
    </w:rPr>
  </w:style>
  <w:style w:type="character" w:customStyle="1" w:styleId="Heading1Char">
    <w:name w:val="Heading 1 Char"/>
    <w:basedOn w:val="DefaultParagraphFont"/>
    <w:link w:val="Heading1"/>
    <w:uiPriority w:val="9"/>
    <w:rsid w:val="00F535B2"/>
    <w:rPr>
      <w:rFonts w:ascii="Verdana" w:eastAsia="Times New Roman" w:hAnsi="Verdana" w:cs="Times New Roman"/>
      <w:b/>
      <w:color w:val="403152" w:themeColor="accent4" w:themeShade="80"/>
      <w:sz w:val="28"/>
      <w:szCs w:val="28"/>
    </w:rPr>
  </w:style>
  <w:style w:type="paragraph" w:styleId="TOCHeading">
    <w:name w:val="TOC Heading"/>
    <w:basedOn w:val="Heading1"/>
    <w:next w:val="Normal"/>
    <w:uiPriority w:val="39"/>
    <w:unhideWhenUsed/>
    <w:qFormat/>
    <w:rsid w:val="00F179F1"/>
    <w:pPr>
      <w:spacing w:before="480" w:after="0" w:line="276" w:lineRule="auto"/>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rsid w:val="00F535B2"/>
    <w:pPr>
      <w:tabs>
        <w:tab w:val="left" w:pos="270"/>
        <w:tab w:val="left" w:pos="1170"/>
        <w:tab w:val="right" w:leader="dot" w:pos="8460"/>
      </w:tabs>
      <w:spacing w:after="100"/>
    </w:pPr>
    <w:rPr>
      <w:rFonts w:ascii="Verdana" w:hAnsi="Verdana" w:cs="Arial"/>
      <w:noProof/>
      <w:sz w:val="18"/>
      <w:szCs w:val="24"/>
    </w:rPr>
  </w:style>
  <w:style w:type="character" w:styleId="Hyperlink">
    <w:name w:val="Hyperlink"/>
    <w:basedOn w:val="DefaultParagraphFont"/>
    <w:uiPriority w:val="99"/>
    <w:unhideWhenUsed/>
    <w:rsid w:val="00AB380F"/>
    <w:rPr>
      <w:rFonts w:ascii="Verdana" w:hAnsi="Verdana"/>
      <w:color w:val="0000FF" w:themeColor="hyperlink"/>
      <w:sz w:val="18"/>
    </w:rPr>
  </w:style>
  <w:style w:type="paragraph" w:customStyle="1" w:styleId="TableofContents">
    <w:name w:val="Table of Contents"/>
    <w:qFormat/>
    <w:rsid w:val="00F535B2"/>
    <w:pPr>
      <w:ind w:left="720"/>
    </w:pPr>
    <w:rPr>
      <w:rFonts w:ascii="Verdana" w:eastAsia="Times New Roman" w:hAnsi="Verdana" w:cs="Times New Roman"/>
      <w:b/>
      <w:color w:val="403152" w:themeColor="accent4" w:themeShade="80"/>
      <w:sz w:val="28"/>
      <w:szCs w:val="24"/>
    </w:rPr>
  </w:style>
  <w:style w:type="character" w:customStyle="1" w:styleId="Heading2Char">
    <w:name w:val="Heading 2 Char"/>
    <w:basedOn w:val="DefaultParagraphFont"/>
    <w:link w:val="Heading2"/>
    <w:rsid w:val="00F535B2"/>
    <w:rPr>
      <w:rFonts w:ascii="Verdana" w:eastAsiaTheme="majorEastAsia" w:hAnsi="Verdana" w:cstheme="majorBidi"/>
      <w:b/>
      <w:bCs/>
      <w:color w:val="403152" w:themeColor="accent4" w:themeShade="80"/>
      <w:sz w:val="26"/>
      <w:szCs w:val="26"/>
    </w:rPr>
  </w:style>
  <w:style w:type="paragraph" w:styleId="TOC2">
    <w:name w:val="toc 2"/>
    <w:basedOn w:val="Normal"/>
    <w:next w:val="Normal"/>
    <w:autoRedefine/>
    <w:uiPriority w:val="39"/>
    <w:unhideWhenUsed/>
    <w:rsid w:val="00F535B2"/>
    <w:pPr>
      <w:tabs>
        <w:tab w:val="left" w:pos="720"/>
        <w:tab w:val="right" w:leader="dot" w:pos="8460"/>
      </w:tabs>
      <w:spacing w:after="100"/>
      <w:ind w:left="220"/>
    </w:pPr>
    <w:rPr>
      <w:rFonts w:ascii="Verdana" w:hAnsi="Verdana" w:cs="Arial"/>
      <w:noProof/>
      <w:sz w:val="18"/>
      <w:szCs w:val="24"/>
    </w:rPr>
  </w:style>
  <w:style w:type="character" w:customStyle="1" w:styleId="Heading3Char">
    <w:name w:val="Heading 3 Char"/>
    <w:basedOn w:val="DefaultParagraphFont"/>
    <w:link w:val="Heading3"/>
    <w:rsid w:val="0086489C"/>
    <w:rPr>
      <w:rFonts w:ascii="Verdana" w:eastAsiaTheme="majorEastAsia" w:hAnsi="Verdana" w:cstheme="majorBidi"/>
      <w:b/>
      <w:color w:val="403152" w:themeColor="accent4" w:themeShade="80"/>
      <w:sz w:val="26"/>
      <w:szCs w:val="26"/>
    </w:rPr>
  </w:style>
  <w:style w:type="paragraph" w:styleId="TOC3">
    <w:name w:val="toc 3"/>
    <w:basedOn w:val="Normal"/>
    <w:next w:val="Normal"/>
    <w:autoRedefine/>
    <w:uiPriority w:val="39"/>
    <w:unhideWhenUsed/>
    <w:rsid w:val="00F535B2"/>
    <w:pPr>
      <w:tabs>
        <w:tab w:val="left" w:pos="900"/>
        <w:tab w:val="left" w:pos="1080"/>
        <w:tab w:val="right" w:leader="dot" w:pos="8460"/>
      </w:tabs>
      <w:spacing w:after="100"/>
      <w:ind w:left="440"/>
    </w:pPr>
    <w:rPr>
      <w:rFonts w:ascii="Verdana" w:eastAsiaTheme="minorEastAsia" w:hAnsi="Verdana" w:cs="Arial"/>
      <w:noProof/>
      <w:sz w:val="18"/>
      <w:szCs w:val="24"/>
    </w:rPr>
  </w:style>
  <w:style w:type="paragraph" w:customStyle="1" w:styleId="BodyParagraph">
    <w:name w:val="Body Paragraph"/>
    <w:link w:val="BodyParagraphChar"/>
    <w:uiPriority w:val="99"/>
    <w:qFormat/>
    <w:rsid w:val="00AB380F"/>
    <w:pPr>
      <w:spacing w:after="240" w:line="312" w:lineRule="auto"/>
    </w:pPr>
    <w:rPr>
      <w:rFonts w:ascii="Verdana" w:hAnsi="Verdana"/>
      <w:sz w:val="18"/>
    </w:rPr>
  </w:style>
  <w:style w:type="paragraph" w:customStyle="1" w:styleId="BodyBeforeBullet">
    <w:name w:val="Body Before Bullet"/>
    <w:basedOn w:val="BodyParagraph"/>
    <w:next w:val="Bullets"/>
    <w:qFormat/>
    <w:rsid w:val="00393B5B"/>
    <w:pPr>
      <w:keepNext/>
      <w:spacing w:after="60"/>
    </w:pPr>
  </w:style>
  <w:style w:type="paragraph" w:customStyle="1" w:styleId="Bullets">
    <w:name w:val="Bullets"/>
    <w:basedOn w:val="Normal"/>
    <w:uiPriority w:val="99"/>
    <w:qFormat/>
    <w:rsid w:val="00AB380F"/>
    <w:pPr>
      <w:numPr>
        <w:numId w:val="1"/>
      </w:numPr>
      <w:spacing w:after="120" w:line="240" w:lineRule="auto"/>
    </w:pPr>
    <w:rPr>
      <w:rFonts w:ascii="Verdana" w:eastAsia="Times New Roman" w:hAnsi="Verdana" w:cs="Arial"/>
      <w:sz w:val="18"/>
      <w:szCs w:val="21"/>
    </w:rPr>
  </w:style>
  <w:style w:type="paragraph" w:customStyle="1" w:styleId="BulletLast">
    <w:name w:val="Bullet Last"/>
    <w:basedOn w:val="Bullets"/>
    <w:next w:val="BodyParagraph"/>
    <w:uiPriority w:val="99"/>
    <w:qFormat/>
    <w:rsid w:val="001B352B"/>
    <w:pPr>
      <w:spacing w:after="360"/>
    </w:pPr>
  </w:style>
  <w:style w:type="paragraph" w:styleId="FootnoteText">
    <w:name w:val="footnote text"/>
    <w:aliases w:val="Footnote Text1 Char,Footnote Text Char Ch"/>
    <w:basedOn w:val="Normal"/>
    <w:link w:val="FootnoteTextChar"/>
    <w:uiPriority w:val="99"/>
    <w:unhideWhenUsed/>
    <w:rsid w:val="00F535B2"/>
    <w:pPr>
      <w:spacing w:after="120" w:line="240" w:lineRule="auto"/>
    </w:pPr>
    <w:rPr>
      <w:rFonts w:ascii="Franklin Gothic Book" w:hAnsi="Franklin Gothic Book"/>
      <w:sz w:val="18"/>
      <w:szCs w:val="20"/>
    </w:rPr>
  </w:style>
  <w:style w:type="character" w:customStyle="1" w:styleId="FootnoteTextChar">
    <w:name w:val="Footnote Text Char"/>
    <w:aliases w:val="Footnote Text1 Char Char,Footnote Text Char Ch Char"/>
    <w:basedOn w:val="DefaultParagraphFont"/>
    <w:link w:val="FootnoteText"/>
    <w:uiPriority w:val="99"/>
    <w:rsid w:val="00F535B2"/>
    <w:rPr>
      <w:rFonts w:ascii="Franklin Gothic Book" w:hAnsi="Franklin Gothic Book"/>
      <w:sz w:val="18"/>
      <w:szCs w:val="20"/>
    </w:rPr>
  </w:style>
  <w:style w:type="character" w:styleId="FootnoteReference">
    <w:name w:val="footnote reference"/>
    <w:aliases w:val="o"/>
    <w:basedOn w:val="DefaultParagraphFont"/>
    <w:uiPriority w:val="99"/>
    <w:unhideWhenUsed/>
    <w:rsid w:val="001B352B"/>
    <w:rPr>
      <w:vertAlign w:val="superscript"/>
    </w:rPr>
  </w:style>
  <w:style w:type="paragraph" w:customStyle="1" w:styleId="Footnote">
    <w:name w:val="Footnote"/>
    <w:basedOn w:val="FootnoteText"/>
    <w:qFormat/>
    <w:rsid w:val="00F535B2"/>
  </w:style>
  <w:style w:type="paragraph" w:customStyle="1" w:styleId="TableFigureCaption">
    <w:name w:val="Table Figure Caption"/>
    <w:basedOn w:val="Normal"/>
    <w:next w:val="BodyParaAfterTableFigure"/>
    <w:qFormat/>
    <w:rsid w:val="002436C1"/>
    <w:pPr>
      <w:keepNext/>
      <w:spacing w:after="120" w:line="240" w:lineRule="auto"/>
      <w:jc w:val="center"/>
    </w:pPr>
    <w:rPr>
      <w:rFonts w:ascii="Arial" w:hAnsi="Arial"/>
      <w:b/>
      <w:sz w:val="20"/>
    </w:rPr>
  </w:style>
  <w:style w:type="table" w:styleId="TableGrid">
    <w:name w:val="Table Grid"/>
    <w:basedOn w:val="TableNormal"/>
    <w:rsid w:val="001B352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Header">
    <w:name w:val="Table Header"/>
    <w:qFormat/>
    <w:rsid w:val="00A160C2"/>
    <w:pPr>
      <w:spacing w:before="100" w:after="100" w:line="240" w:lineRule="auto"/>
      <w:jc w:val="center"/>
    </w:pPr>
    <w:rPr>
      <w:rFonts w:ascii="Arial" w:hAnsi="Arial"/>
      <w:b/>
      <w:color w:val="FFFFFF" w:themeColor="background1"/>
      <w:sz w:val="20"/>
    </w:rPr>
  </w:style>
  <w:style w:type="paragraph" w:customStyle="1" w:styleId="TableText">
    <w:name w:val="Table Text"/>
    <w:qFormat/>
    <w:rsid w:val="00C66141"/>
    <w:pPr>
      <w:spacing w:before="60" w:after="60" w:line="240" w:lineRule="auto"/>
      <w:jc w:val="center"/>
    </w:pPr>
    <w:rPr>
      <w:rFonts w:ascii="Arial" w:hAnsi="Arial"/>
      <w:sz w:val="18"/>
    </w:rPr>
  </w:style>
  <w:style w:type="paragraph" w:customStyle="1" w:styleId="BodyParaAfterTableFigure">
    <w:name w:val="Body Para After Table Figure"/>
    <w:basedOn w:val="BodyParagraph"/>
    <w:next w:val="BodyParagraph"/>
    <w:link w:val="BodyParaAfterTableFigureChar"/>
    <w:uiPriority w:val="99"/>
    <w:qFormat/>
    <w:rsid w:val="00B50663"/>
    <w:pPr>
      <w:spacing w:before="360"/>
    </w:pPr>
  </w:style>
  <w:style w:type="paragraph" w:customStyle="1" w:styleId="AppendixHeading">
    <w:name w:val="Appendix Heading"/>
    <w:basedOn w:val="Heading1"/>
    <w:next w:val="BodyParagraph"/>
    <w:qFormat/>
    <w:rsid w:val="003D68A0"/>
    <w:pPr>
      <w:numPr>
        <w:numId w:val="2"/>
      </w:numPr>
    </w:pPr>
  </w:style>
  <w:style w:type="character" w:customStyle="1" w:styleId="Heading4Char">
    <w:name w:val="Heading 4 Char"/>
    <w:basedOn w:val="DefaultParagraphFont"/>
    <w:link w:val="Heading4"/>
    <w:rsid w:val="00F535B2"/>
    <w:rPr>
      <w:rFonts w:ascii="Arial" w:eastAsiaTheme="majorEastAsia" w:hAnsi="Arial" w:cs="Arial"/>
      <w:b/>
      <w:bCs/>
      <w:i/>
      <w:iCs/>
      <w:color w:val="403152" w:themeColor="accent4" w:themeShade="80"/>
      <w:sz w:val="24"/>
    </w:rPr>
  </w:style>
  <w:style w:type="character" w:customStyle="1" w:styleId="Heading5Char">
    <w:name w:val="Heading 5 Char"/>
    <w:basedOn w:val="DefaultParagraphFont"/>
    <w:link w:val="Heading5"/>
    <w:uiPriority w:val="9"/>
    <w:rsid w:val="0046277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46277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46277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46277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46277A"/>
    <w:rPr>
      <w:rFonts w:asciiTheme="majorHAnsi" w:eastAsiaTheme="majorEastAsia" w:hAnsiTheme="majorHAnsi" w:cstheme="majorBidi"/>
      <w:i/>
      <w:iCs/>
      <w:color w:val="404040" w:themeColor="text1" w:themeTint="BF"/>
      <w:sz w:val="20"/>
      <w:szCs w:val="20"/>
    </w:rPr>
  </w:style>
  <w:style w:type="paragraph" w:customStyle="1" w:styleId="AppendixHeading2">
    <w:name w:val="Appendix Heading 2"/>
    <w:basedOn w:val="Normal"/>
    <w:next w:val="BodyParagraph"/>
    <w:qFormat/>
    <w:rsid w:val="00F535B2"/>
    <w:pPr>
      <w:keepNext/>
      <w:numPr>
        <w:ilvl w:val="1"/>
        <w:numId w:val="2"/>
      </w:numPr>
      <w:spacing w:after="60" w:line="240" w:lineRule="auto"/>
      <w:ind w:left="720" w:hanging="720"/>
    </w:pPr>
    <w:rPr>
      <w:rFonts w:ascii="Verdana" w:hAnsi="Verdana"/>
      <w:b/>
      <w:color w:val="403152" w:themeColor="accent4" w:themeShade="80"/>
      <w:sz w:val="26"/>
    </w:rPr>
  </w:style>
  <w:style w:type="paragraph" w:customStyle="1" w:styleId="AppendixHeading3">
    <w:name w:val="Appendix Heading 3"/>
    <w:basedOn w:val="Normal"/>
    <w:next w:val="BodyParagraph"/>
    <w:qFormat/>
    <w:rsid w:val="00F535B2"/>
    <w:pPr>
      <w:numPr>
        <w:ilvl w:val="2"/>
        <w:numId w:val="2"/>
      </w:numPr>
      <w:spacing w:after="120" w:line="240" w:lineRule="auto"/>
      <w:ind w:left="990" w:hanging="990"/>
    </w:pPr>
    <w:rPr>
      <w:rFonts w:ascii="Verdana" w:hAnsi="Verdana"/>
      <w:b/>
      <w:color w:val="403152" w:themeColor="accent4" w:themeShade="80"/>
      <w:sz w:val="24"/>
    </w:rPr>
  </w:style>
  <w:style w:type="paragraph" w:customStyle="1" w:styleId="AppendixHeading4">
    <w:name w:val="Appendix Heading 4"/>
    <w:basedOn w:val="BodyParagraph"/>
    <w:next w:val="BodyParagraph"/>
    <w:qFormat/>
    <w:rsid w:val="00F535B2"/>
    <w:pPr>
      <w:keepNext/>
      <w:spacing w:after="60" w:line="240" w:lineRule="auto"/>
      <w:ind w:firstLine="360"/>
    </w:pPr>
    <w:rPr>
      <w:b/>
      <w:i/>
      <w:color w:val="403152" w:themeColor="accent4" w:themeShade="80"/>
    </w:rPr>
  </w:style>
  <w:style w:type="paragraph" w:styleId="TOC4">
    <w:name w:val="toc 4"/>
    <w:basedOn w:val="Normal"/>
    <w:next w:val="Normal"/>
    <w:autoRedefine/>
    <w:uiPriority w:val="39"/>
    <w:unhideWhenUsed/>
    <w:rsid w:val="00F535B2"/>
    <w:pPr>
      <w:tabs>
        <w:tab w:val="left" w:pos="1350"/>
        <w:tab w:val="right" w:leader="dot" w:pos="8460"/>
      </w:tabs>
      <w:spacing w:after="100"/>
      <w:ind w:left="660"/>
    </w:pPr>
    <w:rPr>
      <w:rFonts w:ascii="Verdana" w:hAnsi="Verdana" w:cs="Arial"/>
      <w:noProof/>
      <w:sz w:val="18"/>
      <w:szCs w:val="24"/>
    </w:rPr>
  </w:style>
  <w:style w:type="numbering" w:customStyle="1" w:styleId="Numbered">
    <w:name w:val="Numbered"/>
    <w:basedOn w:val="NoList"/>
    <w:uiPriority w:val="99"/>
    <w:rsid w:val="00137F86"/>
    <w:pPr>
      <w:numPr>
        <w:numId w:val="4"/>
      </w:numPr>
    </w:pPr>
  </w:style>
  <w:style w:type="numbering" w:customStyle="1" w:styleId="NumberedSteps">
    <w:name w:val="Numbered Steps"/>
    <w:basedOn w:val="NoList"/>
    <w:uiPriority w:val="99"/>
    <w:rsid w:val="00137F86"/>
    <w:pPr>
      <w:numPr>
        <w:numId w:val="5"/>
      </w:numPr>
    </w:pPr>
  </w:style>
  <w:style w:type="paragraph" w:customStyle="1" w:styleId="Numbers">
    <w:name w:val="Numbers"/>
    <w:qFormat/>
    <w:rsid w:val="003D68A0"/>
    <w:pPr>
      <w:numPr>
        <w:numId w:val="6"/>
      </w:numPr>
      <w:spacing w:after="120" w:line="240" w:lineRule="auto"/>
    </w:pPr>
    <w:rPr>
      <w:rFonts w:ascii="Arial" w:eastAsia="Times New Roman" w:hAnsi="Arial" w:cs="Times New Roman"/>
      <w:sz w:val="20"/>
      <w:szCs w:val="28"/>
    </w:rPr>
  </w:style>
  <w:style w:type="paragraph" w:customStyle="1" w:styleId="NumbersLast">
    <w:name w:val="Numbers Last"/>
    <w:basedOn w:val="Numbers"/>
    <w:next w:val="BodyParagraph"/>
    <w:rsid w:val="007715BA"/>
    <w:pPr>
      <w:numPr>
        <w:numId w:val="7"/>
      </w:numPr>
      <w:spacing w:after="360"/>
    </w:pPr>
  </w:style>
  <w:style w:type="paragraph" w:customStyle="1" w:styleId="LetterDate">
    <w:name w:val="Letter Date"/>
    <w:next w:val="LetterAddressee"/>
    <w:qFormat/>
    <w:rsid w:val="00EB2941"/>
    <w:pPr>
      <w:spacing w:before="2000" w:line="240" w:lineRule="auto"/>
    </w:pPr>
    <w:rPr>
      <w:rFonts w:ascii="Arial" w:hAnsi="Arial"/>
    </w:rPr>
  </w:style>
  <w:style w:type="paragraph" w:customStyle="1" w:styleId="LetterAddressee">
    <w:name w:val="Letter Addressee"/>
    <w:next w:val="LetterSalutation"/>
    <w:qFormat/>
    <w:rsid w:val="00EB2941"/>
    <w:pPr>
      <w:spacing w:after="0" w:line="240" w:lineRule="auto"/>
    </w:pPr>
    <w:rPr>
      <w:rFonts w:ascii="Arial" w:hAnsi="Arial"/>
    </w:rPr>
  </w:style>
  <w:style w:type="paragraph" w:customStyle="1" w:styleId="LetterSalutation">
    <w:name w:val="Letter Salutation"/>
    <w:next w:val="BodyParagraph"/>
    <w:qFormat/>
    <w:rsid w:val="00EB2941"/>
    <w:pPr>
      <w:spacing w:before="400" w:line="240" w:lineRule="auto"/>
    </w:pPr>
    <w:rPr>
      <w:rFonts w:ascii="Arial" w:hAnsi="Arial"/>
    </w:rPr>
  </w:style>
  <w:style w:type="paragraph" w:customStyle="1" w:styleId="LetterClosing">
    <w:name w:val="Letter Closing"/>
    <w:qFormat/>
    <w:rsid w:val="00EB2941"/>
    <w:pPr>
      <w:spacing w:after="1000" w:line="240" w:lineRule="auto"/>
    </w:pPr>
    <w:rPr>
      <w:rFonts w:ascii="Arial" w:hAnsi="Arial"/>
    </w:rPr>
  </w:style>
  <w:style w:type="character" w:customStyle="1" w:styleId="BodyParagraphChar">
    <w:name w:val="Body Paragraph Char"/>
    <w:basedOn w:val="DefaultParagraphFont"/>
    <w:link w:val="BodyParagraph"/>
    <w:uiPriority w:val="99"/>
    <w:rsid w:val="00A160C2"/>
    <w:rPr>
      <w:rFonts w:ascii="Verdana" w:hAnsi="Verdana"/>
      <w:sz w:val="18"/>
    </w:rPr>
  </w:style>
  <w:style w:type="character" w:styleId="CommentReference">
    <w:name w:val="annotation reference"/>
    <w:basedOn w:val="DefaultParagraphFont"/>
    <w:unhideWhenUsed/>
    <w:rsid w:val="00A160C2"/>
    <w:rPr>
      <w:sz w:val="16"/>
      <w:szCs w:val="16"/>
    </w:rPr>
  </w:style>
  <w:style w:type="paragraph" w:styleId="CommentText">
    <w:name w:val="annotation text"/>
    <w:basedOn w:val="Normal"/>
    <w:link w:val="CommentTextChar"/>
    <w:unhideWhenUsed/>
    <w:rsid w:val="00A160C2"/>
    <w:pPr>
      <w:spacing w:line="240" w:lineRule="auto"/>
    </w:pPr>
    <w:rPr>
      <w:rFonts w:eastAsiaTheme="minorEastAsia"/>
      <w:sz w:val="20"/>
      <w:szCs w:val="20"/>
    </w:rPr>
  </w:style>
  <w:style w:type="character" w:customStyle="1" w:styleId="CommentTextChar">
    <w:name w:val="Comment Text Char"/>
    <w:basedOn w:val="DefaultParagraphFont"/>
    <w:link w:val="CommentText"/>
    <w:rsid w:val="00A160C2"/>
    <w:rPr>
      <w:rFonts w:eastAsiaTheme="minorEastAsia"/>
      <w:sz w:val="20"/>
      <w:szCs w:val="20"/>
    </w:rPr>
  </w:style>
  <w:style w:type="paragraph" w:styleId="CommentSubject">
    <w:name w:val="annotation subject"/>
    <w:basedOn w:val="CommentText"/>
    <w:next w:val="CommentText"/>
    <w:link w:val="CommentSubjectChar"/>
    <w:semiHidden/>
    <w:unhideWhenUsed/>
    <w:rsid w:val="00A160C2"/>
    <w:rPr>
      <w:b/>
      <w:bCs/>
    </w:rPr>
  </w:style>
  <w:style w:type="character" w:customStyle="1" w:styleId="CommentSubjectChar">
    <w:name w:val="Comment Subject Char"/>
    <w:basedOn w:val="CommentTextChar"/>
    <w:link w:val="CommentSubject"/>
    <w:semiHidden/>
    <w:rsid w:val="00A160C2"/>
    <w:rPr>
      <w:rFonts w:eastAsiaTheme="minorEastAsia"/>
      <w:b/>
      <w:bCs/>
      <w:sz w:val="20"/>
      <w:szCs w:val="20"/>
    </w:rPr>
  </w:style>
  <w:style w:type="paragraph" w:styleId="Revision">
    <w:name w:val="Revision"/>
    <w:hidden/>
    <w:uiPriority w:val="99"/>
    <w:semiHidden/>
    <w:rsid w:val="00A160C2"/>
    <w:pPr>
      <w:spacing w:after="0" w:line="240" w:lineRule="auto"/>
    </w:pPr>
    <w:rPr>
      <w:rFonts w:eastAsiaTheme="minorEastAsia"/>
    </w:rPr>
  </w:style>
  <w:style w:type="paragraph" w:styleId="ListParagraph">
    <w:name w:val="List Paragraph"/>
    <w:basedOn w:val="Normal"/>
    <w:uiPriority w:val="34"/>
    <w:qFormat/>
    <w:rsid w:val="00A160C2"/>
    <w:pPr>
      <w:spacing w:after="0" w:line="240" w:lineRule="auto"/>
      <w:ind w:left="720"/>
    </w:pPr>
    <w:rPr>
      <w:rFonts w:ascii="Calibri" w:eastAsiaTheme="minorEastAsia" w:hAnsi="Calibri" w:cs="Calibri"/>
    </w:rPr>
  </w:style>
  <w:style w:type="paragraph" w:customStyle="1" w:styleId="Bullet">
    <w:name w:val="Bullet"/>
    <w:basedOn w:val="Normal"/>
    <w:rsid w:val="00A160C2"/>
    <w:pPr>
      <w:numPr>
        <w:numId w:val="8"/>
      </w:numPr>
      <w:spacing w:after="240" w:line="240" w:lineRule="auto"/>
    </w:pPr>
    <w:rPr>
      <w:rFonts w:ascii="Arial" w:eastAsia="Times New Roman" w:hAnsi="Arial" w:cs="Times New Roman"/>
    </w:rPr>
  </w:style>
  <w:style w:type="paragraph" w:styleId="Caption">
    <w:name w:val="caption"/>
    <w:basedOn w:val="TableFigureCaption"/>
    <w:next w:val="Normal"/>
    <w:link w:val="CaptionChar"/>
    <w:qFormat/>
    <w:rsid w:val="00A160C2"/>
    <w:pPr>
      <w:spacing w:after="0"/>
    </w:pPr>
    <w:rPr>
      <w:rFonts w:eastAsia="Times New Roman" w:cs="Times New Roman"/>
      <w:sz w:val="22"/>
    </w:rPr>
  </w:style>
  <w:style w:type="character" w:customStyle="1" w:styleId="CaptionChar">
    <w:name w:val="Caption Char"/>
    <w:basedOn w:val="DefaultParagraphFont"/>
    <w:link w:val="Caption"/>
    <w:locked/>
    <w:rsid w:val="00A160C2"/>
    <w:rPr>
      <w:rFonts w:ascii="Arial" w:eastAsia="Times New Roman" w:hAnsi="Arial" w:cs="Times New Roman"/>
      <w:b/>
    </w:rPr>
  </w:style>
  <w:style w:type="table" w:styleId="TableProfessional">
    <w:name w:val="Table Professional"/>
    <w:basedOn w:val="TableNormal"/>
    <w:rsid w:val="00A160C2"/>
    <w:pPr>
      <w:spacing w:after="0" w:line="240" w:lineRule="auto"/>
    </w:pPr>
    <w:rPr>
      <w:rFonts w:ascii="Arial Narrow" w:eastAsia="Times New Roman" w:hAnsi="Arial Narrow"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NormalBold">
    <w:name w:val="Normal + Bold"/>
    <w:aliases w:val="Centered"/>
    <w:basedOn w:val="BodyParagraph"/>
    <w:rsid w:val="00A160C2"/>
    <w:rPr>
      <w:rFonts w:ascii="Arial" w:eastAsia="Calibri" w:hAnsi="Arial" w:cs="Times New Roman"/>
      <w:sz w:val="20"/>
    </w:rPr>
  </w:style>
  <w:style w:type="character" w:customStyle="1" w:styleId="CharChar1">
    <w:name w:val="Char Char1"/>
    <w:basedOn w:val="DefaultParagraphFont"/>
    <w:semiHidden/>
    <w:locked/>
    <w:rsid w:val="00A160C2"/>
    <w:rPr>
      <w:rFonts w:ascii="Franklin Gothic Book" w:hAnsi="Franklin Gothic Book"/>
      <w:spacing w:val="-2"/>
      <w:lang w:val="en-US" w:eastAsia="en-US" w:bidi="ar-SA"/>
    </w:rPr>
  </w:style>
  <w:style w:type="paragraph" w:customStyle="1" w:styleId="Heading1notnumbered">
    <w:name w:val="Heading 1 not numbered"/>
    <w:basedOn w:val="Heading1"/>
    <w:rsid w:val="00A160C2"/>
    <w:pPr>
      <w:numPr>
        <w:numId w:val="0"/>
      </w:numPr>
      <w:spacing w:after="240"/>
    </w:pPr>
    <w:rPr>
      <w:rFonts w:ascii="Arial Bold" w:hAnsi="Arial Bold"/>
      <w:color w:val="433B67"/>
    </w:rPr>
  </w:style>
  <w:style w:type="paragraph" w:styleId="NormalWeb">
    <w:name w:val="Normal (Web)"/>
    <w:basedOn w:val="Normal"/>
    <w:rsid w:val="00A160C2"/>
    <w:pPr>
      <w:spacing w:before="100" w:beforeAutospacing="1" w:after="100" w:afterAutospacing="1" w:line="240" w:lineRule="auto"/>
    </w:pPr>
    <w:rPr>
      <w:rFonts w:ascii="Times New Roman" w:eastAsia="Times New Roman" w:hAnsi="Times New Roman" w:cs="Times New Roman"/>
      <w:sz w:val="29"/>
      <w:szCs w:val="29"/>
    </w:rPr>
  </w:style>
  <w:style w:type="paragraph" w:customStyle="1" w:styleId="TableCaption">
    <w:name w:val="Table Caption"/>
    <w:basedOn w:val="Caption"/>
    <w:rsid w:val="00A160C2"/>
    <w:pPr>
      <w:keepNext w:val="0"/>
    </w:pPr>
    <w:rPr>
      <w:rFonts w:ascii="Times New Roman" w:hAnsi="Times New Roman"/>
      <w:bCs/>
      <w:sz w:val="24"/>
      <w:szCs w:val="20"/>
    </w:rPr>
  </w:style>
  <w:style w:type="paragraph" w:customStyle="1" w:styleId="standard">
    <w:name w:val="standard"/>
    <w:basedOn w:val="Normal"/>
    <w:link w:val="standardChar"/>
    <w:rsid w:val="00A160C2"/>
    <w:pPr>
      <w:spacing w:after="0" w:line="360" w:lineRule="auto"/>
      <w:ind w:firstLine="720"/>
    </w:pPr>
    <w:rPr>
      <w:rFonts w:ascii="Palatino" w:eastAsia="Times New Roman" w:hAnsi="Palatino" w:cs="Times New Roman"/>
      <w:sz w:val="26"/>
      <w:szCs w:val="20"/>
    </w:rPr>
  </w:style>
  <w:style w:type="character" w:customStyle="1" w:styleId="standardChar">
    <w:name w:val="standard Char"/>
    <w:basedOn w:val="DefaultParagraphFont"/>
    <w:link w:val="standard"/>
    <w:rsid w:val="00A160C2"/>
    <w:rPr>
      <w:rFonts w:ascii="Palatino" w:eastAsia="Times New Roman" w:hAnsi="Palatino" w:cs="Times New Roman"/>
      <w:sz w:val="26"/>
      <w:szCs w:val="20"/>
    </w:rPr>
  </w:style>
  <w:style w:type="numbering" w:customStyle="1" w:styleId="NoList1">
    <w:name w:val="No List1"/>
    <w:next w:val="NoList"/>
    <w:semiHidden/>
    <w:rsid w:val="00A160C2"/>
  </w:style>
  <w:style w:type="character" w:styleId="FollowedHyperlink">
    <w:name w:val="FollowedHyperlink"/>
    <w:basedOn w:val="DefaultParagraphFont"/>
    <w:rsid w:val="00A160C2"/>
    <w:rPr>
      <w:rFonts w:cs="Times New Roman"/>
      <w:color w:val="800080"/>
      <w:u w:val="single"/>
    </w:rPr>
  </w:style>
  <w:style w:type="paragraph" w:customStyle="1" w:styleId="xl66">
    <w:name w:val="xl66"/>
    <w:basedOn w:val="Normal"/>
    <w:rsid w:val="00A160C2"/>
    <w:pPr>
      <w:spacing w:before="100" w:beforeAutospacing="1" w:after="100" w:afterAutospacing="1" w:line="240" w:lineRule="auto"/>
      <w:ind w:firstLineChars="100" w:firstLine="100"/>
      <w:jc w:val="right"/>
    </w:pPr>
    <w:rPr>
      <w:rFonts w:ascii="Times New Roman" w:eastAsia="Times New Roman" w:hAnsi="Times New Roman" w:cs="Times New Roman"/>
      <w:sz w:val="24"/>
      <w:szCs w:val="24"/>
    </w:rPr>
  </w:style>
  <w:style w:type="paragraph" w:customStyle="1" w:styleId="xl69">
    <w:name w:val="xl69"/>
    <w:basedOn w:val="Normal"/>
    <w:rsid w:val="00A160C2"/>
    <w:pPr>
      <w:pBdr>
        <w:top w:val="single" w:sz="4" w:space="0" w:color="95B3D7"/>
        <w:left w:val="single" w:sz="4" w:space="0" w:color="95B3D7"/>
        <w:bottom w:val="single" w:sz="4" w:space="0" w:color="95B3D7"/>
      </w:pBdr>
      <w:shd w:val="clear" w:color="4F81BD" w:fill="1F497D"/>
      <w:spacing w:before="100" w:beforeAutospacing="1" w:after="100" w:afterAutospacing="1" w:line="240" w:lineRule="auto"/>
    </w:pPr>
    <w:rPr>
      <w:rFonts w:ascii="Arial" w:eastAsia="Times New Roman" w:hAnsi="Arial" w:cs="Arial"/>
      <w:b/>
      <w:bCs/>
      <w:color w:val="FFFFFF"/>
      <w:sz w:val="18"/>
      <w:szCs w:val="18"/>
    </w:rPr>
  </w:style>
  <w:style w:type="paragraph" w:customStyle="1" w:styleId="xl70">
    <w:name w:val="xl70"/>
    <w:basedOn w:val="Normal"/>
    <w:rsid w:val="00A160C2"/>
    <w:pPr>
      <w:pBdr>
        <w:top w:val="single" w:sz="4" w:space="0" w:color="95B3D7"/>
        <w:bottom w:val="single" w:sz="4" w:space="0" w:color="95B3D7"/>
      </w:pBdr>
      <w:shd w:val="clear" w:color="4F81BD" w:fill="1F497D"/>
      <w:spacing w:before="100" w:beforeAutospacing="1" w:after="100" w:afterAutospacing="1" w:line="240" w:lineRule="auto"/>
      <w:jc w:val="center"/>
    </w:pPr>
    <w:rPr>
      <w:rFonts w:ascii="Arial" w:eastAsia="Times New Roman" w:hAnsi="Arial" w:cs="Arial"/>
      <w:b/>
      <w:bCs/>
      <w:color w:val="FFFFFF"/>
      <w:sz w:val="18"/>
      <w:szCs w:val="18"/>
    </w:rPr>
  </w:style>
  <w:style w:type="paragraph" w:customStyle="1" w:styleId="xl71">
    <w:name w:val="xl71"/>
    <w:basedOn w:val="Normal"/>
    <w:rsid w:val="00A160C2"/>
    <w:pPr>
      <w:pBdr>
        <w:top w:val="single" w:sz="4" w:space="0" w:color="95B3D7"/>
        <w:bottom w:val="single" w:sz="4" w:space="0" w:color="95B3D7"/>
      </w:pBdr>
      <w:shd w:val="clear" w:color="4F81BD" w:fill="1F497D"/>
      <w:spacing w:before="100" w:beforeAutospacing="1" w:after="100" w:afterAutospacing="1" w:line="240" w:lineRule="auto"/>
      <w:jc w:val="center"/>
    </w:pPr>
    <w:rPr>
      <w:rFonts w:ascii="Arial" w:eastAsia="Times New Roman" w:hAnsi="Arial" w:cs="Arial"/>
      <w:b/>
      <w:bCs/>
      <w:color w:val="FFFFFF"/>
      <w:sz w:val="18"/>
      <w:szCs w:val="18"/>
    </w:rPr>
  </w:style>
  <w:style w:type="paragraph" w:customStyle="1" w:styleId="xl72">
    <w:name w:val="xl72"/>
    <w:basedOn w:val="Normal"/>
    <w:rsid w:val="00A160C2"/>
    <w:pPr>
      <w:pBdr>
        <w:top w:val="single" w:sz="4" w:space="0" w:color="95B3D7"/>
        <w:bottom w:val="single" w:sz="4" w:space="0" w:color="95B3D7"/>
      </w:pBdr>
      <w:shd w:val="clear" w:color="4F81BD" w:fill="1F497D"/>
      <w:spacing w:before="100" w:beforeAutospacing="1" w:after="100" w:afterAutospacing="1" w:line="240" w:lineRule="auto"/>
      <w:jc w:val="center"/>
    </w:pPr>
    <w:rPr>
      <w:rFonts w:ascii="Arial" w:eastAsia="Times New Roman" w:hAnsi="Arial" w:cs="Arial"/>
      <w:b/>
      <w:bCs/>
      <w:color w:val="FFFFFF"/>
      <w:sz w:val="18"/>
      <w:szCs w:val="18"/>
    </w:rPr>
  </w:style>
  <w:style w:type="paragraph" w:customStyle="1" w:styleId="xl73">
    <w:name w:val="xl73"/>
    <w:basedOn w:val="Normal"/>
    <w:rsid w:val="00A160C2"/>
    <w:pPr>
      <w:pBdr>
        <w:top w:val="single" w:sz="4" w:space="0" w:color="95B3D7"/>
        <w:bottom w:val="single" w:sz="4" w:space="0" w:color="95B3D7"/>
        <w:right w:val="single" w:sz="4" w:space="0" w:color="95B3D7"/>
      </w:pBdr>
      <w:shd w:val="clear" w:color="4F81BD" w:fill="1F497D"/>
      <w:spacing w:before="100" w:beforeAutospacing="1" w:after="100" w:afterAutospacing="1" w:line="240" w:lineRule="auto"/>
      <w:jc w:val="center"/>
    </w:pPr>
    <w:rPr>
      <w:rFonts w:ascii="Arial" w:eastAsia="Times New Roman" w:hAnsi="Arial" w:cs="Arial"/>
      <w:b/>
      <w:bCs/>
      <w:color w:val="FFFFFF"/>
      <w:sz w:val="18"/>
      <w:szCs w:val="18"/>
    </w:rPr>
  </w:style>
  <w:style w:type="paragraph" w:customStyle="1" w:styleId="xl74">
    <w:name w:val="xl74"/>
    <w:basedOn w:val="Normal"/>
    <w:rsid w:val="00A160C2"/>
    <w:pPr>
      <w:pBdr>
        <w:left w:val="single" w:sz="4" w:space="0" w:color="95B3D7"/>
        <w:bottom w:val="single" w:sz="4" w:space="0" w:color="95B3D7"/>
      </w:pBdr>
      <w:shd w:val="clear" w:color="DBE5F1" w:fill="DBE5F1"/>
      <w:spacing w:before="100" w:beforeAutospacing="1" w:after="100" w:afterAutospacing="1" w:line="240" w:lineRule="auto"/>
    </w:pPr>
    <w:rPr>
      <w:rFonts w:ascii="Arial" w:eastAsia="Times New Roman" w:hAnsi="Arial" w:cs="Arial"/>
      <w:sz w:val="18"/>
      <w:szCs w:val="18"/>
    </w:rPr>
  </w:style>
  <w:style w:type="paragraph" w:customStyle="1" w:styleId="xl75">
    <w:name w:val="xl75"/>
    <w:basedOn w:val="Normal"/>
    <w:rsid w:val="00A160C2"/>
    <w:pPr>
      <w:pBdr>
        <w:bottom w:val="single" w:sz="4" w:space="0" w:color="95B3D7"/>
      </w:pBdr>
      <w:shd w:val="clear" w:color="DBE5F1" w:fill="DBE5F1"/>
      <w:spacing w:before="100" w:beforeAutospacing="1" w:after="100" w:afterAutospacing="1" w:line="240" w:lineRule="auto"/>
      <w:ind w:firstLineChars="100" w:firstLine="100"/>
      <w:jc w:val="right"/>
    </w:pPr>
    <w:rPr>
      <w:rFonts w:ascii="Arial" w:eastAsia="Times New Roman" w:hAnsi="Arial" w:cs="Arial"/>
      <w:sz w:val="18"/>
      <w:szCs w:val="18"/>
    </w:rPr>
  </w:style>
  <w:style w:type="paragraph" w:customStyle="1" w:styleId="xl76">
    <w:name w:val="xl76"/>
    <w:basedOn w:val="Normal"/>
    <w:rsid w:val="00A160C2"/>
    <w:pPr>
      <w:pBdr>
        <w:bottom w:val="single" w:sz="4" w:space="0" w:color="95B3D7"/>
      </w:pBdr>
      <w:shd w:val="clear" w:color="DBE5F1" w:fill="DBE5F1"/>
      <w:spacing w:before="100" w:beforeAutospacing="1" w:after="100" w:afterAutospacing="1" w:line="240" w:lineRule="auto"/>
    </w:pPr>
    <w:rPr>
      <w:rFonts w:ascii="Arial" w:eastAsia="Times New Roman" w:hAnsi="Arial" w:cs="Arial"/>
      <w:sz w:val="18"/>
      <w:szCs w:val="18"/>
    </w:rPr>
  </w:style>
  <w:style w:type="paragraph" w:customStyle="1" w:styleId="xl77">
    <w:name w:val="xl77"/>
    <w:basedOn w:val="Normal"/>
    <w:rsid w:val="00A160C2"/>
    <w:pPr>
      <w:pBdr>
        <w:bottom w:val="single" w:sz="4" w:space="0" w:color="95B3D7"/>
      </w:pBdr>
      <w:shd w:val="clear" w:color="DBE5F1" w:fill="DBE5F1"/>
      <w:spacing w:before="100" w:beforeAutospacing="1" w:after="100" w:afterAutospacing="1" w:line="240" w:lineRule="auto"/>
    </w:pPr>
    <w:rPr>
      <w:rFonts w:ascii="Arial" w:eastAsia="Times New Roman" w:hAnsi="Arial" w:cs="Arial"/>
      <w:sz w:val="18"/>
      <w:szCs w:val="18"/>
    </w:rPr>
  </w:style>
  <w:style w:type="paragraph" w:customStyle="1" w:styleId="xl78">
    <w:name w:val="xl78"/>
    <w:basedOn w:val="Normal"/>
    <w:rsid w:val="00A160C2"/>
    <w:pPr>
      <w:pBdr>
        <w:bottom w:val="single" w:sz="4" w:space="0" w:color="95B3D7"/>
        <w:right w:val="single" w:sz="4" w:space="0" w:color="95B3D7"/>
      </w:pBdr>
      <w:shd w:val="clear" w:color="DBE5F1" w:fill="DBE5F1"/>
      <w:spacing w:before="100" w:beforeAutospacing="1" w:after="100" w:afterAutospacing="1" w:line="240" w:lineRule="auto"/>
    </w:pPr>
    <w:rPr>
      <w:rFonts w:ascii="Arial" w:eastAsia="Times New Roman" w:hAnsi="Arial" w:cs="Arial"/>
      <w:sz w:val="18"/>
      <w:szCs w:val="18"/>
    </w:rPr>
  </w:style>
  <w:style w:type="paragraph" w:customStyle="1" w:styleId="xl79">
    <w:name w:val="xl79"/>
    <w:basedOn w:val="Normal"/>
    <w:rsid w:val="00A160C2"/>
    <w:pPr>
      <w:pBdr>
        <w:left w:val="single" w:sz="4" w:space="0" w:color="95B3D7"/>
        <w:bottom w:val="single" w:sz="4" w:space="0" w:color="95B3D7"/>
      </w:pBdr>
      <w:spacing w:before="100" w:beforeAutospacing="1" w:after="100" w:afterAutospacing="1" w:line="240" w:lineRule="auto"/>
    </w:pPr>
    <w:rPr>
      <w:rFonts w:ascii="Arial" w:eastAsia="Times New Roman" w:hAnsi="Arial" w:cs="Arial"/>
      <w:sz w:val="18"/>
      <w:szCs w:val="18"/>
    </w:rPr>
  </w:style>
  <w:style w:type="paragraph" w:customStyle="1" w:styleId="xl80">
    <w:name w:val="xl80"/>
    <w:basedOn w:val="Normal"/>
    <w:rsid w:val="00A160C2"/>
    <w:pPr>
      <w:pBdr>
        <w:bottom w:val="single" w:sz="4" w:space="0" w:color="95B3D7"/>
      </w:pBdr>
      <w:spacing w:before="100" w:beforeAutospacing="1" w:after="100" w:afterAutospacing="1" w:line="240" w:lineRule="auto"/>
      <w:ind w:firstLineChars="100" w:firstLine="100"/>
      <w:jc w:val="right"/>
    </w:pPr>
    <w:rPr>
      <w:rFonts w:ascii="Arial" w:eastAsia="Times New Roman" w:hAnsi="Arial" w:cs="Arial"/>
      <w:sz w:val="18"/>
      <w:szCs w:val="18"/>
    </w:rPr>
  </w:style>
  <w:style w:type="paragraph" w:customStyle="1" w:styleId="xl81">
    <w:name w:val="xl81"/>
    <w:basedOn w:val="Normal"/>
    <w:rsid w:val="00A160C2"/>
    <w:pPr>
      <w:pBdr>
        <w:bottom w:val="single" w:sz="4" w:space="0" w:color="95B3D7"/>
      </w:pBdr>
      <w:spacing w:before="100" w:beforeAutospacing="1" w:after="100" w:afterAutospacing="1" w:line="240" w:lineRule="auto"/>
    </w:pPr>
    <w:rPr>
      <w:rFonts w:ascii="Arial" w:eastAsia="Times New Roman" w:hAnsi="Arial" w:cs="Arial"/>
      <w:sz w:val="18"/>
      <w:szCs w:val="18"/>
    </w:rPr>
  </w:style>
  <w:style w:type="paragraph" w:customStyle="1" w:styleId="xl82">
    <w:name w:val="xl82"/>
    <w:basedOn w:val="Normal"/>
    <w:rsid w:val="00A160C2"/>
    <w:pPr>
      <w:pBdr>
        <w:bottom w:val="single" w:sz="4" w:space="0" w:color="95B3D7"/>
      </w:pBdr>
      <w:spacing w:before="100" w:beforeAutospacing="1" w:after="100" w:afterAutospacing="1" w:line="240" w:lineRule="auto"/>
    </w:pPr>
    <w:rPr>
      <w:rFonts w:ascii="Arial" w:eastAsia="Times New Roman" w:hAnsi="Arial" w:cs="Arial"/>
      <w:sz w:val="18"/>
      <w:szCs w:val="18"/>
    </w:rPr>
  </w:style>
  <w:style w:type="paragraph" w:customStyle="1" w:styleId="xl83">
    <w:name w:val="xl83"/>
    <w:basedOn w:val="Normal"/>
    <w:rsid w:val="00A160C2"/>
    <w:pPr>
      <w:pBdr>
        <w:bottom w:val="single" w:sz="4" w:space="0" w:color="95B3D7"/>
        <w:right w:val="single" w:sz="4" w:space="0" w:color="95B3D7"/>
      </w:pBdr>
      <w:spacing w:before="100" w:beforeAutospacing="1" w:after="100" w:afterAutospacing="1" w:line="240" w:lineRule="auto"/>
    </w:pPr>
    <w:rPr>
      <w:rFonts w:ascii="Arial" w:eastAsia="Times New Roman" w:hAnsi="Arial" w:cs="Arial"/>
      <w:sz w:val="18"/>
      <w:szCs w:val="18"/>
    </w:rPr>
  </w:style>
  <w:style w:type="paragraph" w:customStyle="1" w:styleId="xl84">
    <w:name w:val="xl84"/>
    <w:basedOn w:val="Normal"/>
    <w:rsid w:val="00A160C2"/>
    <w:pPr>
      <w:pBdr>
        <w:left w:val="single" w:sz="4" w:space="7" w:color="95B3D7"/>
        <w:bottom w:val="single" w:sz="4" w:space="0" w:color="95B3D7"/>
      </w:pBdr>
      <w:spacing w:before="100" w:beforeAutospacing="1" w:after="100" w:afterAutospacing="1" w:line="240" w:lineRule="auto"/>
      <w:ind w:firstLineChars="100" w:firstLine="100"/>
    </w:pPr>
    <w:rPr>
      <w:rFonts w:ascii="Arial" w:eastAsia="Times New Roman" w:hAnsi="Arial" w:cs="Arial"/>
      <w:sz w:val="18"/>
      <w:szCs w:val="18"/>
    </w:rPr>
  </w:style>
  <w:style w:type="paragraph" w:customStyle="1" w:styleId="xl85">
    <w:name w:val="xl85"/>
    <w:basedOn w:val="Normal"/>
    <w:rsid w:val="00A160C2"/>
    <w:pPr>
      <w:pBdr>
        <w:left w:val="single" w:sz="4" w:space="7" w:color="95B3D7"/>
        <w:bottom w:val="single" w:sz="4" w:space="0" w:color="95B3D7"/>
      </w:pBdr>
      <w:shd w:val="clear" w:color="DBE5F1" w:fill="DBE5F1"/>
      <w:spacing w:before="100" w:beforeAutospacing="1" w:after="100" w:afterAutospacing="1" w:line="240" w:lineRule="auto"/>
      <w:ind w:firstLineChars="100" w:firstLine="100"/>
    </w:pPr>
    <w:rPr>
      <w:rFonts w:ascii="Arial" w:eastAsia="Times New Roman" w:hAnsi="Arial" w:cs="Arial"/>
      <w:sz w:val="18"/>
      <w:szCs w:val="18"/>
    </w:rPr>
  </w:style>
  <w:style w:type="paragraph" w:customStyle="1" w:styleId="xl86">
    <w:name w:val="xl86"/>
    <w:basedOn w:val="Normal"/>
    <w:rsid w:val="00A160C2"/>
    <w:pPr>
      <w:pBdr>
        <w:left w:val="single" w:sz="4" w:space="0" w:color="95B3D7"/>
        <w:bottom w:val="single" w:sz="4" w:space="0" w:color="95B3D7"/>
      </w:pBdr>
      <w:shd w:val="clear" w:color="DBE5F1" w:fill="DBE5F1"/>
      <w:spacing w:before="100" w:beforeAutospacing="1" w:after="100" w:afterAutospacing="1" w:line="240" w:lineRule="auto"/>
    </w:pPr>
    <w:rPr>
      <w:rFonts w:ascii="Arial" w:eastAsia="Times New Roman" w:hAnsi="Arial" w:cs="Arial"/>
      <w:sz w:val="18"/>
      <w:szCs w:val="18"/>
    </w:rPr>
  </w:style>
  <w:style w:type="paragraph" w:customStyle="1" w:styleId="xl87">
    <w:name w:val="xl87"/>
    <w:basedOn w:val="Normal"/>
    <w:rsid w:val="00A160C2"/>
    <w:pPr>
      <w:pBdr>
        <w:left w:val="single" w:sz="4" w:space="0" w:color="95B3D7"/>
        <w:bottom w:val="single" w:sz="4" w:space="0" w:color="95B3D7"/>
      </w:pBdr>
      <w:spacing w:before="100" w:beforeAutospacing="1" w:after="100" w:afterAutospacing="1" w:line="240" w:lineRule="auto"/>
    </w:pPr>
    <w:rPr>
      <w:rFonts w:ascii="Arial" w:eastAsia="Times New Roman" w:hAnsi="Arial" w:cs="Arial"/>
      <w:sz w:val="18"/>
      <w:szCs w:val="18"/>
    </w:rPr>
  </w:style>
  <w:style w:type="table" w:customStyle="1" w:styleId="MediumShading1-Accent11">
    <w:name w:val="Medium Shading 1 - Accent 11"/>
    <w:basedOn w:val="TableNormal"/>
    <w:uiPriority w:val="63"/>
    <w:rsid w:val="00A160C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TOC5">
    <w:name w:val="toc 5"/>
    <w:basedOn w:val="Normal"/>
    <w:next w:val="Normal"/>
    <w:autoRedefine/>
    <w:uiPriority w:val="39"/>
    <w:unhideWhenUsed/>
    <w:rsid w:val="00A160C2"/>
    <w:pPr>
      <w:spacing w:after="100"/>
      <w:ind w:left="880"/>
    </w:pPr>
    <w:rPr>
      <w:rFonts w:ascii="Calibri" w:eastAsia="Times New Roman" w:hAnsi="Calibri" w:cs="Times New Roman"/>
    </w:rPr>
  </w:style>
  <w:style w:type="paragraph" w:styleId="TOC6">
    <w:name w:val="toc 6"/>
    <w:basedOn w:val="Normal"/>
    <w:next w:val="Normal"/>
    <w:autoRedefine/>
    <w:uiPriority w:val="39"/>
    <w:unhideWhenUsed/>
    <w:rsid w:val="00A160C2"/>
    <w:pPr>
      <w:spacing w:after="100"/>
      <w:ind w:left="1100"/>
    </w:pPr>
    <w:rPr>
      <w:rFonts w:ascii="Calibri" w:eastAsia="Times New Roman" w:hAnsi="Calibri" w:cs="Times New Roman"/>
    </w:rPr>
  </w:style>
  <w:style w:type="paragraph" w:styleId="TOC7">
    <w:name w:val="toc 7"/>
    <w:basedOn w:val="Normal"/>
    <w:next w:val="Normal"/>
    <w:autoRedefine/>
    <w:uiPriority w:val="39"/>
    <w:unhideWhenUsed/>
    <w:rsid w:val="00A160C2"/>
    <w:pPr>
      <w:spacing w:after="100"/>
      <w:ind w:left="1320"/>
    </w:pPr>
    <w:rPr>
      <w:rFonts w:ascii="Calibri" w:eastAsia="Times New Roman" w:hAnsi="Calibri" w:cs="Times New Roman"/>
    </w:rPr>
  </w:style>
  <w:style w:type="paragraph" w:styleId="TOC8">
    <w:name w:val="toc 8"/>
    <w:basedOn w:val="Normal"/>
    <w:next w:val="Normal"/>
    <w:autoRedefine/>
    <w:uiPriority w:val="39"/>
    <w:unhideWhenUsed/>
    <w:rsid w:val="00A160C2"/>
    <w:pPr>
      <w:spacing w:after="100"/>
      <w:ind w:left="1540"/>
    </w:pPr>
    <w:rPr>
      <w:rFonts w:ascii="Calibri" w:eastAsia="Times New Roman" w:hAnsi="Calibri" w:cs="Times New Roman"/>
    </w:rPr>
  </w:style>
  <w:style w:type="paragraph" w:styleId="TOC9">
    <w:name w:val="toc 9"/>
    <w:basedOn w:val="Normal"/>
    <w:next w:val="Normal"/>
    <w:autoRedefine/>
    <w:uiPriority w:val="39"/>
    <w:unhideWhenUsed/>
    <w:rsid w:val="00A160C2"/>
    <w:pPr>
      <w:spacing w:after="100"/>
      <w:ind w:left="1760"/>
    </w:pPr>
    <w:rPr>
      <w:rFonts w:ascii="Calibri" w:eastAsia="Times New Roman" w:hAnsi="Calibri" w:cs="Times New Roman"/>
    </w:rPr>
  </w:style>
  <w:style w:type="paragraph" w:styleId="EndnoteText">
    <w:name w:val="endnote text"/>
    <w:basedOn w:val="Normal"/>
    <w:link w:val="EndnoteTextChar"/>
    <w:uiPriority w:val="99"/>
    <w:semiHidden/>
    <w:unhideWhenUsed/>
    <w:rsid w:val="00127E4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27E49"/>
    <w:rPr>
      <w:sz w:val="20"/>
      <w:szCs w:val="20"/>
    </w:rPr>
  </w:style>
  <w:style w:type="character" w:styleId="EndnoteReference">
    <w:name w:val="endnote reference"/>
    <w:basedOn w:val="DefaultParagraphFont"/>
    <w:uiPriority w:val="99"/>
    <w:semiHidden/>
    <w:unhideWhenUsed/>
    <w:rsid w:val="00127E49"/>
    <w:rPr>
      <w:vertAlign w:val="superscript"/>
    </w:rPr>
  </w:style>
  <w:style w:type="character" w:styleId="PlaceholderText">
    <w:name w:val="Placeholder Text"/>
    <w:basedOn w:val="DefaultParagraphFont"/>
    <w:uiPriority w:val="99"/>
    <w:semiHidden/>
    <w:rsid w:val="003762BD"/>
    <w:rPr>
      <w:color w:val="808080"/>
    </w:rPr>
  </w:style>
  <w:style w:type="character" w:customStyle="1" w:styleId="BodyParaAfterTableFigureChar">
    <w:name w:val="Body Para After Table Figure Char"/>
    <w:basedOn w:val="BodyParagraphChar"/>
    <w:link w:val="BodyParaAfterTableFigure"/>
    <w:uiPriority w:val="99"/>
    <w:rsid w:val="003762BD"/>
    <w:rPr>
      <w:rFonts w:ascii="Verdana" w:hAnsi="Verdana"/>
      <w:sz w:val="18"/>
    </w:rPr>
  </w:style>
  <w:style w:type="character" w:customStyle="1" w:styleId="FootnoteTextChar1">
    <w:name w:val="Footnote Text Char1"/>
    <w:aliases w:val="Footnote Text1 Char Char1,Footnote Text Char Ch Char1"/>
    <w:basedOn w:val="DefaultParagraphFont"/>
    <w:uiPriority w:val="99"/>
    <w:semiHidden/>
    <w:rsid w:val="00FB143E"/>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Normal (Web)" w:uiPriority="0"/>
    <w:lsdException w:name="annotation subject" w:uiPriority="0"/>
    <w:lsdException w:name="Table Professional"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2941"/>
  </w:style>
  <w:style w:type="paragraph" w:styleId="Heading1">
    <w:name w:val="heading 1"/>
    <w:next w:val="BodyParagraph"/>
    <w:link w:val="Heading1Char"/>
    <w:uiPriority w:val="9"/>
    <w:qFormat/>
    <w:rsid w:val="00F535B2"/>
    <w:pPr>
      <w:keepNext/>
      <w:numPr>
        <w:numId w:val="3"/>
      </w:numPr>
      <w:spacing w:after="120" w:line="240" w:lineRule="auto"/>
      <w:outlineLvl w:val="0"/>
    </w:pPr>
    <w:rPr>
      <w:rFonts w:ascii="Verdana" w:eastAsia="Times New Roman" w:hAnsi="Verdana" w:cs="Times New Roman"/>
      <w:b/>
      <w:color w:val="403152" w:themeColor="accent4" w:themeShade="80"/>
      <w:sz w:val="28"/>
      <w:szCs w:val="28"/>
    </w:rPr>
  </w:style>
  <w:style w:type="paragraph" w:styleId="Heading2">
    <w:name w:val="heading 2"/>
    <w:basedOn w:val="Heading1"/>
    <w:next w:val="BodyParagraph"/>
    <w:link w:val="Heading2Char"/>
    <w:unhideWhenUsed/>
    <w:qFormat/>
    <w:rsid w:val="00F535B2"/>
    <w:pPr>
      <w:numPr>
        <w:ilvl w:val="1"/>
      </w:numPr>
      <w:ind w:left="720" w:hanging="720"/>
      <w:outlineLvl w:val="1"/>
    </w:pPr>
    <w:rPr>
      <w:rFonts w:eastAsiaTheme="majorEastAsia" w:cstheme="majorBidi"/>
      <w:bCs/>
      <w:sz w:val="26"/>
      <w:szCs w:val="26"/>
    </w:rPr>
  </w:style>
  <w:style w:type="paragraph" w:styleId="Heading3">
    <w:name w:val="heading 3"/>
    <w:basedOn w:val="Heading2"/>
    <w:next w:val="BodyParagraph"/>
    <w:link w:val="Heading3Char"/>
    <w:unhideWhenUsed/>
    <w:qFormat/>
    <w:rsid w:val="0086489C"/>
    <w:pPr>
      <w:keepLines/>
      <w:numPr>
        <w:ilvl w:val="2"/>
      </w:numPr>
      <w:ind w:left="720"/>
      <w:outlineLvl w:val="2"/>
    </w:pPr>
    <w:rPr>
      <w:bCs w:val="0"/>
    </w:rPr>
  </w:style>
  <w:style w:type="paragraph" w:styleId="Heading4">
    <w:name w:val="heading 4"/>
    <w:basedOn w:val="Normal"/>
    <w:next w:val="BodyParagraph"/>
    <w:link w:val="Heading4Char"/>
    <w:unhideWhenUsed/>
    <w:qFormat/>
    <w:rsid w:val="00F535B2"/>
    <w:pPr>
      <w:keepNext/>
      <w:keepLines/>
      <w:spacing w:before="200" w:after="0"/>
      <w:ind w:left="360"/>
      <w:outlineLvl w:val="3"/>
    </w:pPr>
    <w:rPr>
      <w:rFonts w:ascii="Arial" w:eastAsiaTheme="majorEastAsia" w:hAnsi="Arial" w:cs="Arial"/>
      <w:b/>
      <w:bCs/>
      <w:i/>
      <w:iCs/>
      <w:color w:val="403152" w:themeColor="accent4" w:themeShade="80"/>
      <w:sz w:val="24"/>
    </w:rPr>
  </w:style>
  <w:style w:type="paragraph" w:styleId="Heading5">
    <w:name w:val="heading 5"/>
    <w:basedOn w:val="Normal"/>
    <w:next w:val="Normal"/>
    <w:link w:val="Heading5Char"/>
    <w:uiPriority w:val="9"/>
    <w:unhideWhenUsed/>
    <w:qFormat/>
    <w:rsid w:val="0046277A"/>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46277A"/>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46277A"/>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46277A"/>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46277A"/>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2A6B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2A6B02"/>
    <w:rPr>
      <w:rFonts w:ascii="Tahoma" w:hAnsi="Tahoma" w:cs="Tahoma"/>
      <w:sz w:val="16"/>
      <w:szCs w:val="16"/>
    </w:rPr>
  </w:style>
  <w:style w:type="paragraph" w:customStyle="1" w:styleId="TitleHeader">
    <w:name w:val="Title Header"/>
    <w:qFormat/>
    <w:rsid w:val="002A6B02"/>
    <w:pPr>
      <w:spacing w:after="120" w:line="240" w:lineRule="auto"/>
    </w:pPr>
    <w:rPr>
      <w:rFonts w:ascii="Arial" w:eastAsia="Times New Roman" w:hAnsi="Arial" w:cs="Arial"/>
      <w:b/>
      <w:i/>
      <w:color w:val="FFFFFF"/>
      <w:sz w:val="24"/>
      <w:szCs w:val="24"/>
    </w:rPr>
  </w:style>
  <w:style w:type="paragraph" w:customStyle="1" w:styleId="TitleProposal">
    <w:name w:val="Title Proposal"/>
    <w:qFormat/>
    <w:rsid w:val="00F535B2"/>
    <w:pPr>
      <w:spacing w:after="400" w:line="240" w:lineRule="auto"/>
    </w:pPr>
    <w:rPr>
      <w:rFonts w:ascii="Verdana" w:eastAsia="Times New Roman" w:hAnsi="Verdana" w:cs="Arial"/>
      <w:b/>
      <w:color w:val="FFFFFF"/>
      <w:sz w:val="28"/>
      <w:szCs w:val="28"/>
    </w:rPr>
  </w:style>
  <w:style w:type="paragraph" w:customStyle="1" w:styleId="TitleAddress">
    <w:name w:val="Title Address"/>
    <w:qFormat/>
    <w:rsid w:val="00F535B2"/>
    <w:pPr>
      <w:tabs>
        <w:tab w:val="left" w:pos="3960"/>
      </w:tabs>
      <w:spacing w:after="400" w:line="240" w:lineRule="auto"/>
    </w:pPr>
    <w:rPr>
      <w:rFonts w:ascii="Verdana" w:eastAsia="Times New Roman" w:hAnsi="Verdana" w:cs="Arial"/>
      <w:b/>
      <w:color w:val="FFFFFF"/>
    </w:rPr>
  </w:style>
  <w:style w:type="paragraph" w:styleId="Footer">
    <w:name w:val="footer"/>
    <w:basedOn w:val="Normal"/>
    <w:link w:val="FooterChar"/>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FooterChar">
    <w:name w:val="Footer Char"/>
    <w:basedOn w:val="DefaultParagraphFont"/>
    <w:link w:val="Footer"/>
    <w:rsid w:val="002A6B02"/>
    <w:rPr>
      <w:rFonts w:ascii="Arial" w:eastAsia="Times New Roman" w:hAnsi="Arial" w:cs="Times New Roman"/>
      <w:szCs w:val="24"/>
    </w:rPr>
  </w:style>
  <w:style w:type="character" w:styleId="PageNumber">
    <w:name w:val="page number"/>
    <w:basedOn w:val="DefaultParagraphFont"/>
    <w:rsid w:val="002A6B02"/>
  </w:style>
  <w:style w:type="paragraph" w:styleId="Header">
    <w:name w:val="header"/>
    <w:basedOn w:val="Normal"/>
    <w:link w:val="HeaderChar"/>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HeaderChar">
    <w:name w:val="Header Char"/>
    <w:basedOn w:val="DefaultParagraphFont"/>
    <w:link w:val="Header"/>
    <w:rsid w:val="002A6B02"/>
    <w:rPr>
      <w:rFonts w:ascii="Arial" w:eastAsia="Times New Roman" w:hAnsi="Arial" w:cs="Times New Roman"/>
      <w:szCs w:val="24"/>
    </w:rPr>
  </w:style>
  <w:style w:type="paragraph" w:customStyle="1" w:styleId="PreparedFor">
    <w:name w:val="Prepared For"/>
    <w:rsid w:val="00F535B2"/>
    <w:pPr>
      <w:spacing w:before="400" w:after="120" w:line="240" w:lineRule="auto"/>
      <w:jc w:val="right"/>
    </w:pPr>
    <w:rPr>
      <w:rFonts w:ascii="Verdana" w:eastAsia="Times New Roman" w:hAnsi="Verdana" w:cs="Times New Roman"/>
      <w:i/>
      <w:szCs w:val="20"/>
    </w:rPr>
  </w:style>
  <w:style w:type="paragraph" w:customStyle="1" w:styleId="PreparedForCompany">
    <w:name w:val="Prepared For Company"/>
    <w:basedOn w:val="Normal"/>
    <w:qFormat/>
    <w:rsid w:val="00F535B2"/>
    <w:pPr>
      <w:spacing w:after="0" w:line="240" w:lineRule="auto"/>
      <w:jc w:val="right"/>
    </w:pPr>
    <w:rPr>
      <w:rFonts w:ascii="Verdana" w:eastAsia="Times New Roman" w:hAnsi="Verdana" w:cs="Times New Roman"/>
      <w:szCs w:val="24"/>
    </w:rPr>
  </w:style>
  <w:style w:type="character" w:customStyle="1" w:styleId="Heading1Char">
    <w:name w:val="Heading 1 Char"/>
    <w:basedOn w:val="DefaultParagraphFont"/>
    <w:link w:val="Heading1"/>
    <w:uiPriority w:val="9"/>
    <w:rsid w:val="00F535B2"/>
    <w:rPr>
      <w:rFonts w:ascii="Verdana" w:eastAsia="Times New Roman" w:hAnsi="Verdana" w:cs="Times New Roman"/>
      <w:b/>
      <w:color w:val="403152" w:themeColor="accent4" w:themeShade="80"/>
      <w:sz w:val="28"/>
      <w:szCs w:val="28"/>
    </w:rPr>
  </w:style>
  <w:style w:type="paragraph" w:styleId="TOCHeading">
    <w:name w:val="TOC Heading"/>
    <w:basedOn w:val="Heading1"/>
    <w:next w:val="Normal"/>
    <w:uiPriority w:val="39"/>
    <w:unhideWhenUsed/>
    <w:qFormat/>
    <w:rsid w:val="00F179F1"/>
    <w:pPr>
      <w:spacing w:before="480" w:after="0" w:line="276" w:lineRule="auto"/>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rsid w:val="00F535B2"/>
    <w:pPr>
      <w:tabs>
        <w:tab w:val="left" w:pos="270"/>
        <w:tab w:val="left" w:pos="1170"/>
        <w:tab w:val="right" w:leader="dot" w:pos="8460"/>
      </w:tabs>
      <w:spacing w:after="100"/>
    </w:pPr>
    <w:rPr>
      <w:rFonts w:ascii="Verdana" w:hAnsi="Verdana" w:cs="Arial"/>
      <w:noProof/>
      <w:sz w:val="18"/>
      <w:szCs w:val="24"/>
    </w:rPr>
  </w:style>
  <w:style w:type="character" w:styleId="Hyperlink">
    <w:name w:val="Hyperlink"/>
    <w:basedOn w:val="DefaultParagraphFont"/>
    <w:uiPriority w:val="99"/>
    <w:unhideWhenUsed/>
    <w:rsid w:val="00AB380F"/>
    <w:rPr>
      <w:rFonts w:ascii="Verdana" w:hAnsi="Verdana"/>
      <w:color w:val="0000FF" w:themeColor="hyperlink"/>
      <w:sz w:val="18"/>
    </w:rPr>
  </w:style>
  <w:style w:type="paragraph" w:customStyle="1" w:styleId="TableofContents">
    <w:name w:val="Table of Contents"/>
    <w:qFormat/>
    <w:rsid w:val="00F535B2"/>
    <w:pPr>
      <w:ind w:left="720"/>
    </w:pPr>
    <w:rPr>
      <w:rFonts w:ascii="Verdana" w:eastAsia="Times New Roman" w:hAnsi="Verdana" w:cs="Times New Roman"/>
      <w:b/>
      <w:color w:val="403152" w:themeColor="accent4" w:themeShade="80"/>
      <w:sz w:val="28"/>
      <w:szCs w:val="24"/>
    </w:rPr>
  </w:style>
  <w:style w:type="character" w:customStyle="1" w:styleId="Heading2Char">
    <w:name w:val="Heading 2 Char"/>
    <w:basedOn w:val="DefaultParagraphFont"/>
    <w:link w:val="Heading2"/>
    <w:rsid w:val="00F535B2"/>
    <w:rPr>
      <w:rFonts w:ascii="Verdana" w:eastAsiaTheme="majorEastAsia" w:hAnsi="Verdana" w:cstheme="majorBidi"/>
      <w:b/>
      <w:bCs/>
      <w:color w:val="403152" w:themeColor="accent4" w:themeShade="80"/>
      <w:sz w:val="26"/>
      <w:szCs w:val="26"/>
    </w:rPr>
  </w:style>
  <w:style w:type="paragraph" w:styleId="TOC2">
    <w:name w:val="toc 2"/>
    <w:basedOn w:val="Normal"/>
    <w:next w:val="Normal"/>
    <w:autoRedefine/>
    <w:uiPriority w:val="39"/>
    <w:unhideWhenUsed/>
    <w:rsid w:val="00F535B2"/>
    <w:pPr>
      <w:tabs>
        <w:tab w:val="left" w:pos="720"/>
        <w:tab w:val="right" w:leader="dot" w:pos="8460"/>
      </w:tabs>
      <w:spacing w:after="100"/>
      <w:ind w:left="220"/>
    </w:pPr>
    <w:rPr>
      <w:rFonts w:ascii="Verdana" w:hAnsi="Verdana" w:cs="Arial"/>
      <w:noProof/>
      <w:sz w:val="18"/>
      <w:szCs w:val="24"/>
    </w:rPr>
  </w:style>
  <w:style w:type="character" w:customStyle="1" w:styleId="Heading3Char">
    <w:name w:val="Heading 3 Char"/>
    <w:basedOn w:val="DefaultParagraphFont"/>
    <w:link w:val="Heading3"/>
    <w:rsid w:val="0086489C"/>
    <w:rPr>
      <w:rFonts w:ascii="Verdana" w:eastAsiaTheme="majorEastAsia" w:hAnsi="Verdana" w:cstheme="majorBidi"/>
      <w:b/>
      <w:color w:val="403152" w:themeColor="accent4" w:themeShade="80"/>
      <w:sz w:val="26"/>
      <w:szCs w:val="26"/>
    </w:rPr>
  </w:style>
  <w:style w:type="paragraph" w:styleId="TOC3">
    <w:name w:val="toc 3"/>
    <w:basedOn w:val="Normal"/>
    <w:next w:val="Normal"/>
    <w:autoRedefine/>
    <w:uiPriority w:val="39"/>
    <w:unhideWhenUsed/>
    <w:rsid w:val="00F535B2"/>
    <w:pPr>
      <w:tabs>
        <w:tab w:val="left" w:pos="900"/>
        <w:tab w:val="left" w:pos="1080"/>
        <w:tab w:val="right" w:leader="dot" w:pos="8460"/>
      </w:tabs>
      <w:spacing w:after="100"/>
      <w:ind w:left="440"/>
    </w:pPr>
    <w:rPr>
      <w:rFonts w:ascii="Verdana" w:eastAsiaTheme="minorEastAsia" w:hAnsi="Verdana" w:cs="Arial"/>
      <w:noProof/>
      <w:sz w:val="18"/>
      <w:szCs w:val="24"/>
    </w:rPr>
  </w:style>
  <w:style w:type="paragraph" w:customStyle="1" w:styleId="BodyParagraph">
    <w:name w:val="Body Paragraph"/>
    <w:link w:val="BodyParagraphChar"/>
    <w:uiPriority w:val="99"/>
    <w:qFormat/>
    <w:rsid w:val="00AB380F"/>
    <w:pPr>
      <w:spacing w:after="240" w:line="312" w:lineRule="auto"/>
    </w:pPr>
    <w:rPr>
      <w:rFonts w:ascii="Verdana" w:hAnsi="Verdana"/>
      <w:sz w:val="18"/>
    </w:rPr>
  </w:style>
  <w:style w:type="paragraph" w:customStyle="1" w:styleId="BodyBeforeBullet">
    <w:name w:val="Body Before Bullet"/>
    <w:basedOn w:val="BodyParagraph"/>
    <w:next w:val="Bullets"/>
    <w:qFormat/>
    <w:rsid w:val="00393B5B"/>
    <w:pPr>
      <w:keepNext/>
      <w:spacing w:after="60"/>
    </w:pPr>
  </w:style>
  <w:style w:type="paragraph" w:customStyle="1" w:styleId="Bullets">
    <w:name w:val="Bullets"/>
    <w:basedOn w:val="Normal"/>
    <w:uiPriority w:val="99"/>
    <w:qFormat/>
    <w:rsid w:val="00AB380F"/>
    <w:pPr>
      <w:numPr>
        <w:numId w:val="1"/>
      </w:numPr>
      <w:spacing w:after="120" w:line="240" w:lineRule="auto"/>
    </w:pPr>
    <w:rPr>
      <w:rFonts w:ascii="Verdana" w:eastAsia="Times New Roman" w:hAnsi="Verdana" w:cs="Arial"/>
      <w:sz w:val="18"/>
      <w:szCs w:val="21"/>
    </w:rPr>
  </w:style>
  <w:style w:type="paragraph" w:customStyle="1" w:styleId="BulletLast">
    <w:name w:val="Bullet Last"/>
    <w:basedOn w:val="Bullets"/>
    <w:next w:val="BodyParagraph"/>
    <w:uiPriority w:val="99"/>
    <w:qFormat/>
    <w:rsid w:val="001B352B"/>
    <w:pPr>
      <w:spacing w:after="360"/>
    </w:pPr>
  </w:style>
  <w:style w:type="paragraph" w:styleId="FootnoteText">
    <w:name w:val="footnote text"/>
    <w:aliases w:val="Footnote Text1 Char,Footnote Text Char Ch"/>
    <w:basedOn w:val="Normal"/>
    <w:link w:val="FootnoteTextChar"/>
    <w:uiPriority w:val="99"/>
    <w:unhideWhenUsed/>
    <w:rsid w:val="00F535B2"/>
    <w:pPr>
      <w:spacing w:after="120" w:line="240" w:lineRule="auto"/>
    </w:pPr>
    <w:rPr>
      <w:rFonts w:ascii="Franklin Gothic Book" w:hAnsi="Franklin Gothic Book"/>
      <w:sz w:val="18"/>
      <w:szCs w:val="20"/>
    </w:rPr>
  </w:style>
  <w:style w:type="character" w:customStyle="1" w:styleId="FootnoteTextChar">
    <w:name w:val="Footnote Text Char"/>
    <w:aliases w:val="Footnote Text1 Char Char,Footnote Text Char Ch Char"/>
    <w:basedOn w:val="DefaultParagraphFont"/>
    <w:link w:val="FootnoteText"/>
    <w:uiPriority w:val="99"/>
    <w:rsid w:val="00F535B2"/>
    <w:rPr>
      <w:rFonts w:ascii="Franklin Gothic Book" w:hAnsi="Franklin Gothic Book"/>
      <w:sz w:val="18"/>
      <w:szCs w:val="20"/>
    </w:rPr>
  </w:style>
  <w:style w:type="character" w:styleId="FootnoteReference">
    <w:name w:val="footnote reference"/>
    <w:aliases w:val="o"/>
    <w:basedOn w:val="DefaultParagraphFont"/>
    <w:uiPriority w:val="99"/>
    <w:unhideWhenUsed/>
    <w:rsid w:val="001B352B"/>
    <w:rPr>
      <w:vertAlign w:val="superscript"/>
    </w:rPr>
  </w:style>
  <w:style w:type="paragraph" w:customStyle="1" w:styleId="Footnote">
    <w:name w:val="Footnote"/>
    <w:basedOn w:val="FootnoteText"/>
    <w:qFormat/>
    <w:rsid w:val="00F535B2"/>
  </w:style>
  <w:style w:type="paragraph" w:customStyle="1" w:styleId="TableFigureCaption">
    <w:name w:val="Table Figure Caption"/>
    <w:basedOn w:val="Normal"/>
    <w:next w:val="BodyParaAfterTableFigure"/>
    <w:qFormat/>
    <w:rsid w:val="002436C1"/>
    <w:pPr>
      <w:keepNext/>
      <w:spacing w:after="120" w:line="240" w:lineRule="auto"/>
      <w:jc w:val="center"/>
    </w:pPr>
    <w:rPr>
      <w:rFonts w:ascii="Arial" w:hAnsi="Arial"/>
      <w:b/>
      <w:sz w:val="20"/>
    </w:rPr>
  </w:style>
  <w:style w:type="table" w:styleId="TableGrid">
    <w:name w:val="Table Grid"/>
    <w:basedOn w:val="TableNormal"/>
    <w:rsid w:val="001B352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Header">
    <w:name w:val="Table Header"/>
    <w:qFormat/>
    <w:rsid w:val="00A160C2"/>
    <w:pPr>
      <w:spacing w:before="100" w:after="100" w:line="240" w:lineRule="auto"/>
      <w:jc w:val="center"/>
    </w:pPr>
    <w:rPr>
      <w:rFonts w:ascii="Arial" w:hAnsi="Arial"/>
      <w:b/>
      <w:color w:val="FFFFFF" w:themeColor="background1"/>
      <w:sz w:val="20"/>
    </w:rPr>
  </w:style>
  <w:style w:type="paragraph" w:customStyle="1" w:styleId="TableText">
    <w:name w:val="Table Text"/>
    <w:qFormat/>
    <w:rsid w:val="00C66141"/>
    <w:pPr>
      <w:spacing w:before="60" w:after="60" w:line="240" w:lineRule="auto"/>
      <w:jc w:val="center"/>
    </w:pPr>
    <w:rPr>
      <w:rFonts w:ascii="Arial" w:hAnsi="Arial"/>
      <w:sz w:val="18"/>
    </w:rPr>
  </w:style>
  <w:style w:type="paragraph" w:customStyle="1" w:styleId="BodyParaAfterTableFigure">
    <w:name w:val="Body Para After Table Figure"/>
    <w:basedOn w:val="BodyParagraph"/>
    <w:next w:val="BodyParagraph"/>
    <w:link w:val="BodyParaAfterTableFigureChar"/>
    <w:uiPriority w:val="99"/>
    <w:qFormat/>
    <w:rsid w:val="00B50663"/>
    <w:pPr>
      <w:spacing w:before="360"/>
    </w:pPr>
  </w:style>
  <w:style w:type="paragraph" w:customStyle="1" w:styleId="AppendixHeading">
    <w:name w:val="Appendix Heading"/>
    <w:basedOn w:val="Heading1"/>
    <w:next w:val="BodyParagraph"/>
    <w:qFormat/>
    <w:rsid w:val="003D68A0"/>
    <w:pPr>
      <w:numPr>
        <w:numId w:val="2"/>
      </w:numPr>
    </w:pPr>
  </w:style>
  <w:style w:type="character" w:customStyle="1" w:styleId="Heading4Char">
    <w:name w:val="Heading 4 Char"/>
    <w:basedOn w:val="DefaultParagraphFont"/>
    <w:link w:val="Heading4"/>
    <w:rsid w:val="00F535B2"/>
    <w:rPr>
      <w:rFonts w:ascii="Arial" w:eastAsiaTheme="majorEastAsia" w:hAnsi="Arial" w:cs="Arial"/>
      <w:b/>
      <w:bCs/>
      <w:i/>
      <w:iCs/>
      <w:color w:val="403152" w:themeColor="accent4" w:themeShade="80"/>
      <w:sz w:val="24"/>
    </w:rPr>
  </w:style>
  <w:style w:type="character" w:customStyle="1" w:styleId="Heading5Char">
    <w:name w:val="Heading 5 Char"/>
    <w:basedOn w:val="DefaultParagraphFont"/>
    <w:link w:val="Heading5"/>
    <w:uiPriority w:val="9"/>
    <w:rsid w:val="0046277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46277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46277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46277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46277A"/>
    <w:rPr>
      <w:rFonts w:asciiTheme="majorHAnsi" w:eastAsiaTheme="majorEastAsia" w:hAnsiTheme="majorHAnsi" w:cstheme="majorBidi"/>
      <w:i/>
      <w:iCs/>
      <w:color w:val="404040" w:themeColor="text1" w:themeTint="BF"/>
      <w:sz w:val="20"/>
      <w:szCs w:val="20"/>
    </w:rPr>
  </w:style>
  <w:style w:type="paragraph" w:customStyle="1" w:styleId="AppendixHeading2">
    <w:name w:val="Appendix Heading 2"/>
    <w:basedOn w:val="Normal"/>
    <w:next w:val="BodyParagraph"/>
    <w:qFormat/>
    <w:rsid w:val="00F535B2"/>
    <w:pPr>
      <w:keepNext/>
      <w:numPr>
        <w:ilvl w:val="1"/>
        <w:numId w:val="2"/>
      </w:numPr>
      <w:spacing w:after="60" w:line="240" w:lineRule="auto"/>
      <w:ind w:left="720" w:hanging="720"/>
    </w:pPr>
    <w:rPr>
      <w:rFonts w:ascii="Verdana" w:hAnsi="Verdana"/>
      <w:b/>
      <w:color w:val="403152" w:themeColor="accent4" w:themeShade="80"/>
      <w:sz w:val="26"/>
    </w:rPr>
  </w:style>
  <w:style w:type="paragraph" w:customStyle="1" w:styleId="AppendixHeading3">
    <w:name w:val="Appendix Heading 3"/>
    <w:basedOn w:val="Normal"/>
    <w:next w:val="BodyParagraph"/>
    <w:qFormat/>
    <w:rsid w:val="00F535B2"/>
    <w:pPr>
      <w:numPr>
        <w:ilvl w:val="2"/>
        <w:numId w:val="2"/>
      </w:numPr>
      <w:spacing w:after="120" w:line="240" w:lineRule="auto"/>
      <w:ind w:left="990" w:hanging="990"/>
    </w:pPr>
    <w:rPr>
      <w:rFonts w:ascii="Verdana" w:hAnsi="Verdana"/>
      <w:b/>
      <w:color w:val="403152" w:themeColor="accent4" w:themeShade="80"/>
      <w:sz w:val="24"/>
    </w:rPr>
  </w:style>
  <w:style w:type="paragraph" w:customStyle="1" w:styleId="AppendixHeading4">
    <w:name w:val="Appendix Heading 4"/>
    <w:basedOn w:val="BodyParagraph"/>
    <w:next w:val="BodyParagraph"/>
    <w:qFormat/>
    <w:rsid w:val="00F535B2"/>
    <w:pPr>
      <w:keepNext/>
      <w:spacing w:after="60" w:line="240" w:lineRule="auto"/>
      <w:ind w:firstLine="360"/>
    </w:pPr>
    <w:rPr>
      <w:b/>
      <w:i/>
      <w:color w:val="403152" w:themeColor="accent4" w:themeShade="80"/>
    </w:rPr>
  </w:style>
  <w:style w:type="paragraph" w:styleId="TOC4">
    <w:name w:val="toc 4"/>
    <w:basedOn w:val="Normal"/>
    <w:next w:val="Normal"/>
    <w:autoRedefine/>
    <w:uiPriority w:val="39"/>
    <w:unhideWhenUsed/>
    <w:rsid w:val="00F535B2"/>
    <w:pPr>
      <w:tabs>
        <w:tab w:val="left" w:pos="1350"/>
        <w:tab w:val="right" w:leader="dot" w:pos="8460"/>
      </w:tabs>
      <w:spacing w:after="100"/>
      <w:ind w:left="660"/>
    </w:pPr>
    <w:rPr>
      <w:rFonts w:ascii="Verdana" w:hAnsi="Verdana" w:cs="Arial"/>
      <w:noProof/>
      <w:sz w:val="18"/>
      <w:szCs w:val="24"/>
    </w:rPr>
  </w:style>
  <w:style w:type="numbering" w:customStyle="1" w:styleId="Numbered">
    <w:name w:val="Numbered"/>
    <w:basedOn w:val="NoList"/>
    <w:uiPriority w:val="99"/>
    <w:rsid w:val="00137F86"/>
    <w:pPr>
      <w:numPr>
        <w:numId w:val="4"/>
      </w:numPr>
    </w:pPr>
  </w:style>
  <w:style w:type="numbering" w:customStyle="1" w:styleId="NumberedSteps">
    <w:name w:val="Numbered Steps"/>
    <w:basedOn w:val="NoList"/>
    <w:uiPriority w:val="99"/>
    <w:rsid w:val="00137F86"/>
    <w:pPr>
      <w:numPr>
        <w:numId w:val="5"/>
      </w:numPr>
    </w:pPr>
  </w:style>
  <w:style w:type="paragraph" w:customStyle="1" w:styleId="Numbers">
    <w:name w:val="Numbers"/>
    <w:qFormat/>
    <w:rsid w:val="003D68A0"/>
    <w:pPr>
      <w:numPr>
        <w:numId w:val="6"/>
      </w:numPr>
      <w:spacing w:after="120" w:line="240" w:lineRule="auto"/>
    </w:pPr>
    <w:rPr>
      <w:rFonts w:ascii="Arial" w:eastAsia="Times New Roman" w:hAnsi="Arial" w:cs="Times New Roman"/>
      <w:sz w:val="20"/>
      <w:szCs w:val="28"/>
    </w:rPr>
  </w:style>
  <w:style w:type="paragraph" w:customStyle="1" w:styleId="NumbersLast">
    <w:name w:val="Numbers Last"/>
    <w:basedOn w:val="Numbers"/>
    <w:next w:val="BodyParagraph"/>
    <w:rsid w:val="007715BA"/>
    <w:pPr>
      <w:numPr>
        <w:numId w:val="7"/>
      </w:numPr>
      <w:spacing w:after="360"/>
    </w:pPr>
  </w:style>
  <w:style w:type="paragraph" w:customStyle="1" w:styleId="LetterDate">
    <w:name w:val="Letter Date"/>
    <w:next w:val="LetterAddressee"/>
    <w:qFormat/>
    <w:rsid w:val="00EB2941"/>
    <w:pPr>
      <w:spacing w:before="2000" w:line="240" w:lineRule="auto"/>
    </w:pPr>
    <w:rPr>
      <w:rFonts w:ascii="Arial" w:hAnsi="Arial"/>
    </w:rPr>
  </w:style>
  <w:style w:type="paragraph" w:customStyle="1" w:styleId="LetterAddressee">
    <w:name w:val="Letter Addressee"/>
    <w:next w:val="LetterSalutation"/>
    <w:qFormat/>
    <w:rsid w:val="00EB2941"/>
    <w:pPr>
      <w:spacing w:after="0" w:line="240" w:lineRule="auto"/>
    </w:pPr>
    <w:rPr>
      <w:rFonts w:ascii="Arial" w:hAnsi="Arial"/>
    </w:rPr>
  </w:style>
  <w:style w:type="paragraph" w:customStyle="1" w:styleId="LetterSalutation">
    <w:name w:val="Letter Salutation"/>
    <w:next w:val="BodyParagraph"/>
    <w:qFormat/>
    <w:rsid w:val="00EB2941"/>
    <w:pPr>
      <w:spacing w:before="400" w:line="240" w:lineRule="auto"/>
    </w:pPr>
    <w:rPr>
      <w:rFonts w:ascii="Arial" w:hAnsi="Arial"/>
    </w:rPr>
  </w:style>
  <w:style w:type="paragraph" w:customStyle="1" w:styleId="LetterClosing">
    <w:name w:val="Letter Closing"/>
    <w:qFormat/>
    <w:rsid w:val="00EB2941"/>
    <w:pPr>
      <w:spacing w:after="1000" w:line="240" w:lineRule="auto"/>
    </w:pPr>
    <w:rPr>
      <w:rFonts w:ascii="Arial" w:hAnsi="Arial"/>
    </w:rPr>
  </w:style>
  <w:style w:type="character" w:customStyle="1" w:styleId="BodyParagraphChar">
    <w:name w:val="Body Paragraph Char"/>
    <w:basedOn w:val="DefaultParagraphFont"/>
    <w:link w:val="BodyParagraph"/>
    <w:uiPriority w:val="99"/>
    <w:rsid w:val="00A160C2"/>
    <w:rPr>
      <w:rFonts w:ascii="Verdana" w:hAnsi="Verdana"/>
      <w:sz w:val="18"/>
    </w:rPr>
  </w:style>
  <w:style w:type="character" w:styleId="CommentReference">
    <w:name w:val="annotation reference"/>
    <w:basedOn w:val="DefaultParagraphFont"/>
    <w:unhideWhenUsed/>
    <w:rsid w:val="00A160C2"/>
    <w:rPr>
      <w:sz w:val="16"/>
      <w:szCs w:val="16"/>
    </w:rPr>
  </w:style>
  <w:style w:type="paragraph" w:styleId="CommentText">
    <w:name w:val="annotation text"/>
    <w:basedOn w:val="Normal"/>
    <w:link w:val="CommentTextChar"/>
    <w:unhideWhenUsed/>
    <w:rsid w:val="00A160C2"/>
    <w:pPr>
      <w:spacing w:line="240" w:lineRule="auto"/>
    </w:pPr>
    <w:rPr>
      <w:rFonts w:eastAsiaTheme="minorEastAsia"/>
      <w:sz w:val="20"/>
      <w:szCs w:val="20"/>
    </w:rPr>
  </w:style>
  <w:style w:type="character" w:customStyle="1" w:styleId="CommentTextChar">
    <w:name w:val="Comment Text Char"/>
    <w:basedOn w:val="DefaultParagraphFont"/>
    <w:link w:val="CommentText"/>
    <w:rsid w:val="00A160C2"/>
    <w:rPr>
      <w:rFonts w:eastAsiaTheme="minorEastAsia"/>
      <w:sz w:val="20"/>
      <w:szCs w:val="20"/>
    </w:rPr>
  </w:style>
  <w:style w:type="paragraph" w:styleId="CommentSubject">
    <w:name w:val="annotation subject"/>
    <w:basedOn w:val="CommentText"/>
    <w:next w:val="CommentText"/>
    <w:link w:val="CommentSubjectChar"/>
    <w:semiHidden/>
    <w:unhideWhenUsed/>
    <w:rsid w:val="00A160C2"/>
    <w:rPr>
      <w:b/>
      <w:bCs/>
    </w:rPr>
  </w:style>
  <w:style w:type="character" w:customStyle="1" w:styleId="CommentSubjectChar">
    <w:name w:val="Comment Subject Char"/>
    <w:basedOn w:val="CommentTextChar"/>
    <w:link w:val="CommentSubject"/>
    <w:semiHidden/>
    <w:rsid w:val="00A160C2"/>
    <w:rPr>
      <w:rFonts w:eastAsiaTheme="minorEastAsia"/>
      <w:b/>
      <w:bCs/>
      <w:sz w:val="20"/>
      <w:szCs w:val="20"/>
    </w:rPr>
  </w:style>
  <w:style w:type="paragraph" w:styleId="Revision">
    <w:name w:val="Revision"/>
    <w:hidden/>
    <w:uiPriority w:val="99"/>
    <w:semiHidden/>
    <w:rsid w:val="00A160C2"/>
    <w:pPr>
      <w:spacing w:after="0" w:line="240" w:lineRule="auto"/>
    </w:pPr>
    <w:rPr>
      <w:rFonts w:eastAsiaTheme="minorEastAsia"/>
    </w:rPr>
  </w:style>
  <w:style w:type="paragraph" w:styleId="ListParagraph">
    <w:name w:val="List Paragraph"/>
    <w:basedOn w:val="Normal"/>
    <w:uiPriority w:val="34"/>
    <w:qFormat/>
    <w:rsid w:val="00A160C2"/>
    <w:pPr>
      <w:spacing w:after="0" w:line="240" w:lineRule="auto"/>
      <w:ind w:left="720"/>
    </w:pPr>
    <w:rPr>
      <w:rFonts w:ascii="Calibri" w:eastAsiaTheme="minorEastAsia" w:hAnsi="Calibri" w:cs="Calibri"/>
    </w:rPr>
  </w:style>
  <w:style w:type="paragraph" w:customStyle="1" w:styleId="Bullet">
    <w:name w:val="Bullet"/>
    <w:basedOn w:val="Normal"/>
    <w:rsid w:val="00A160C2"/>
    <w:pPr>
      <w:numPr>
        <w:numId w:val="8"/>
      </w:numPr>
      <w:spacing w:after="240" w:line="240" w:lineRule="auto"/>
    </w:pPr>
    <w:rPr>
      <w:rFonts w:ascii="Arial" w:eastAsia="Times New Roman" w:hAnsi="Arial" w:cs="Times New Roman"/>
    </w:rPr>
  </w:style>
  <w:style w:type="paragraph" w:styleId="Caption">
    <w:name w:val="caption"/>
    <w:basedOn w:val="TableFigureCaption"/>
    <w:next w:val="Normal"/>
    <w:link w:val="CaptionChar"/>
    <w:qFormat/>
    <w:rsid w:val="00A160C2"/>
    <w:pPr>
      <w:spacing w:after="0"/>
    </w:pPr>
    <w:rPr>
      <w:rFonts w:eastAsia="Times New Roman" w:cs="Times New Roman"/>
      <w:sz w:val="22"/>
    </w:rPr>
  </w:style>
  <w:style w:type="character" w:customStyle="1" w:styleId="CaptionChar">
    <w:name w:val="Caption Char"/>
    <w:basedOn w:val="DefaultParagraphFont"/>
    <w:link w:val="Caption"/>
    <w:locked/>
    <w:rsid w:val="00A160C2"/>
    <w:rPr>
      <w:rFonts w:ascii="Arial" w:eastAsia="Times New Roman" w:hAnsi="Arial" w:cs="Times New Roman"/>
      <w:b/>
    </w:rPr>
  </w:style>
  <w:style w:type="table" w:styleId="TableProfessional">
    <w:name w:val="Table Professional"/>
    <w:basedOn w:val="TableNormal"/>
    <w:rsid w:val="00A160C2"/>
    <w:pPr>
      <w:spacing w:after="0" w:line="240" w:lineRule="auto"/>
    </w:pPr>
    <w:rPr>
      <w:rFonts w:ascii="Arial Narrow" w:eastAsia="Times New Roman" w:hAnsi="Arial Narrow"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NormalBold">
    <w:name w:val="Normal + Bold"/>
    <w:aliases w:val="Centered"/>
    <w:basedOn w:val="BodyParagraph"/>
    <w:rsid w:val="00A160C2"/>
    <w:rPr>
      <w:rFonts w:ascii="Arial" w:eastAsia="Calibri" w:hAnsi="Arial" w:cs="Times New Roman"/>
      <w:sz w:val="20"/>
    </w:rPr>
  </w:style>
  <w:style w:type="character" w:customStyle="1" w:styleId="CharChar1">
    <w:name w:val="Char Char1"/>
    <w:basedOn w:val="DefaultParagraphFont"/>
    <w:semiHidden/>
    <w:locked/>
    <w:rsid w:val="00A160C2"/>
    <w:rPr>
      <w:rFonts w:ascii="Franklin Gothic Book" w:hAnsi="Franklin Gothic Book"/>
      <w:spacing w:val="-2"/>
      <w:lang w:val="en-US" w:eastAsia="en-US" w:bidi="ar-SA"/>
    </w:rPr>
  </w:style>
  <w:style w:type="paragraph" w:customStyle="1" w:styleId="Heading1notnumbered">
    <w:name w:val="Heading 1 not numbered"/>
    <w:basedOn w:val="Heading1"/>
    <w:rsid w:val="00A160C2"/>
    <w:pPr>
      <w:numPr>
        <w:numId w:val="0"/>
      </w:numPr>
      <w:spacing w:after="240"/>
    </w:pPr>
    <w:rPr>
      <w:rFonts w:ascii="Arial Bold" w:hAnsi="Arial Bold"/>
      <w:color w:val="433B67"/>
    </w:rPr>
  </w:style>
  <w:style w:type="paragraph" w:styleId="NormalWeb">
    <w:name w:val="Normal (Web)"/>
    <w:basedOn w:val="Normal"/>
    <w:rsid w:val="00A160C2"/>
    <w:pPr>
      <w:spacing w:before="100" w:beforeAutospacing="1" w:after="100" w:afterAutospacing="1" w:line="240" w:lineRule="auto"/>
    </w:pPr>
    <w:rPr>
      <w:rFonts w:ascii="Times New Roman" w:eastAsia="Times New Roman" w:hAnsi="Times New Roman" w:cs="Times New Roman"/>
      <w:sz w:val="29"/>
      <w:szCs w:val="29"/>
    </w:rPr>
  </w:style>
  <w:style w:type="paragraph" w:customStyle="1" w:styleId="TableCaption">
    <w:name w:val="Table Caption"/>
    <w:basedOn w:val="Caption"/>
    <w:rsid w:val="00A160C2"/>
    <w:pPr>
      <w:keepNext w:val="0"/>
    </w:pPr>
    <w:rPr>
      <w:rFonts w:ascii="Times New Roman" w:hAnsi="Times New Roman"/>
      <w:bCs/>
      <w:sz w:val="24"/>
      <w:szCs w:val="20"/>
    </w:rPr>
  </w:style>
  <w:style w:type="paragraph" w:customStyle="1" w:styleId="standard">
    <w:name w:val="standard"/>
    <w:basedOn w:val="Normal"/>
    <w:link w:val="standardChar"/>
    <w:rsid w:val="00A160C2"/>
    <w:pPr>
      <w:spacing w:after="0" w:line="360" w:lineRule="auto"/>
      <w:ind w:firstLine="720"/>
    </w:pPr>
    <w:rPr>
      <w:rFonts w:ascii="Palatino" w:eastAsia="Times New Roman" w:hAnsi="Palatino" w:cs="Times New Roman"/>
      <w:sz w:val="26"/>
      <w:szCs w:val="20"/>
    </w:rPr>
  </w:style>
  <w:style w:type="character" w:customStyle="1" w:styleId="standardChar">
    <w:name w:val="standard Char"/>
    <w:basedOn w:val="DefaultParagraphFont"/>
    <w:link w:val="standard"/>
    <w:rsid w:val="00A160C2"/>
    <w:rPr>
      <w:rFonts w:ascii="Palatino" w:eastAsia="Times New Roman" w:hAnsi="Palatino" w:cs="Times New Roman"/>
      <w:sz w:val="26"/>
      <w:szCs w:val="20"/>
    </w:rPr>
  </w:style>
  <w:style w:type="numbering" w:customStyle="1" w:styleId="NoList1">
    <w:name w:val="No List1"/>
    <w:next w:val="NoList"/>
    <w:semiHidden/>
    <w:rsid w:val="00A160C2"/>
  </w:style>
  <w:style w:type="character" w:styleId="FollowedHyperlink">
    <w:name w:val="FollowedHyperlink"/>
    <w:basedOn w:val="DefaultParagraphFont"/>
    <w:rsid w:val="00A160C2"/>
    <w:rPr>
      <w:rFonts w:cs="Times New Roman"/>
      <w:color w:val="800080"/>
      <w:u w:val="single"/>
    </w:rPr>
  </w:style>
  <w:style w:type="paragraph" w:customStyle="1" w:styleId="xl66">
    <w:name w:val="xl66"/>
    <w:basedOn w:val="Normal"/>
    <w:rsid w:val="00A160C2"/>
    <w:pPr>
      <w:spacing w:before="100" w:beforeAutospacing="1" w:after="100" w:afterAutospacing="1" w:line="240" w:lineRule="auto"/>
      <w:ind w:firstLineChars="100" w:firstLine="100"/>
      <w:jc w:val="right"/>
    </w:pPr>
    <w:rPr>
      <w:rFonts w:ascii="Times New Roman" w:eastAsia="Times New Roman" w:hAnsi="Times New Roman" w:cs="Times New Roman"/>
      <w:sz w:val="24"/>
      <w:szCs w:val="24"/>
    </w:rPr>
  </w:style>
  <w:style w:type="paragraph" w:customStyle="1" w:styleId="xl69">
    <w:name w:val="xl69"/>
    <w:basedOn w:val="Normal"/>
    <w:rsid w:val="00A160C2"/>
    <w:pPr>
      <w:pBdr>
        <w:top w:val="single" w:sz="4" w:space="0" w:color="95B3D7"/>
        <w:left w:val="single" w:sz="4" w:space="0" w:color="95B3D7"/>
        <w:bottom w:val="single" w:sz="4" w:space="0" w:color="95B3D7"/>
      </w:pBdr>
      <w:shd w:val="clear" w:color="4F81BD" w:fill="1F497D"/>
      <w:spacing w:before="100" w:beforeAutospacing="1" w:after="100" w:afterAutospacing="1" w:line="240" w:lineRule="auto"/>
    </w:pPr>
    <w:rPr>
      <w:rFonts w:ascii="Arial" w:eastAsia="Times New Roman" w:hAnsi="Arial" w:cs="Arial"/>
      <w:b/>
      <w:bCs/>
      <w:color w:val="FFFFFF"/>
      <w:sz w:val="18"/>
      <w:szCs w:val="18"/>
    </w:rPr>
  </w:style>
  <w:style w:type="paragraph" w:customStyle="1" w:styleId="xl70">
    <w:name w:val="xl70"/>
    <w:basedOn w:val="Normal"/>
    <w:rsid w:val="00A160C2"/>
    <w:pPr>
      <w:pBdr>
        <w:top w:val="single" w:sz="4" w:space="0" w:color="95B3D7"/>
        <w:bottom w:val="single" w:sz="4" w:space="0" w:color="95B3D7"/>
      </w:pBdr>
      <w:shd w:val="clear" w:color="4F81BD" w:fill="1F497D"/>
      <w:spacing w:before="100" w:beforeAutospacing="1" w:after="100" w:afterAutospacing="1" w:line="240" w:lineRule="auto"/>
      <w:jc w:val="center"/>
    </w:pPr>
    <w:rPr>
      <w:rFonts w:ascii="Arial" w:eastAsia="Times New Roman" w:hAnsi="Arial" w:cs="Arial"/>
      <w:b/>
      <w:bCs/>
      <w:color w:val="FFFFFF"/>
      <w:sz w:val="18"/>
      <w:szCs w:val="18"/>
    </w:rPr>
  </w:style>
  <w:style w:type="paragraph" w:customStyle="1" w:styleId="xl71">
    <w:name w:val="xl71"/>
    <w:basedOn w:val="Normal"/>
    <w:rsid w:val="00A160C2"/>
    <w:pPr>
      <w:pBdr>
        <w:top w:val="single" w:sz="4" w:space="0" w:color="95B3D7"/>
        <w:bottom w:val="single" w:sz="4" w:space="0" w:color="95B3D7"/>
      </w:pBdr>
      <w:shd w:val="clear" w:color="4F81BD" w:fill="1F497D"/>
      <w:spacing w:before="100" w:beforeAutospacing="1" w:after="100" w:afterAutospacing="1" w:line="240" w:lineRule="auto"/>
      <w:jc w:val="center"/>
    </w:pPr>
    <w:rPr>
      <w:rFonts w:ascii="Arial" w:eastAsia="Times New Roman" w:hAnsi="Arial" w:cs="Arial"/>
      <w:b/>
      <w:bCs/>
      <w:color w:val="FFFFFF"/>
      <w:sz w:val="18"/>
      <w:szCs w:val="18"/>
    </w:rPr>
  </w:style>
  <w:style w:type="paragraph" w:customStyle="1" w:styleId="xl72">
    <w:name w:val="xl72"/>
    <w:basedOn w:val="Normal"/>
    <w:rsid w:val="00A160C2"/>
    <w:pPr>
      <w:pBdr>
        <w:top w:val="single" w:sz="4" w:space="0" w:color="95B3D7"/>
        <w:bottom w:val="single" w:sz="4" w:space="0" w:color="95B3D7"/>
      </w:pBdr>
      <w:shd w:val="clear" w:color="4F81BD" w:fill="1F497D"/>
      <w:spacing w:before="100" w:beforeAutospacing="1" w:after="100" w:afterAutospacing="1" w:line="240" w:lineRule="auto"/>
      <w:jc w:val="center"/>
    </w:pPr>
    <w:rPr>
      <w:rFonts w:ascii="Arial" w:eastAsia="Times New Roman" w:hAnsi="Arial" w:cs="Arial"/>
      <w:b/>
      <w:bCs/>
      <w:color w:val="FFFFFF"/>
      <w:sz w:val="18"/>
      <w:szCs w:val="18"/>
    </w:rPr>
  </w:style>
  <w:style w:type="paragraph" w:customStyle="1" w:styleId="xl73">
    <w:name w:val="xl73"/>
    <w:basedOn w:val="Normal"/>
    <w:rsid w:val="00A160C2"/>
    <w:pPr>
      <w:pBdr>
        <w:top w:val="single" w:sz="4" w:space="0" w:color="95B3D7"/>
        <w:bottom w:val="single" w:sz="4" w:space="0" w:color="95B3D7"/>
        <w:right w:val="single" w:sz="4" w:space="0" w:color="95B3D7"/>
      </w:pBdr>
      <w:shd w:val="clear" w:color="4F81BD" w:fill="1F497D"/>
      <w:spacing w:before="100" w:beforeAutospacing="1" w:after="100" w:afterAutospacing="1" w:line="240" w:lineRule="auto"/>
      <w:jc w:val="center"/>
    </w:pPr>
    <w:rPr>
      <w:rFonts w:ascii="Arial" w:eastAsia="Times New Roman" w:hAnsi="Arial" w:cs="Arial"/>
      <w:b/>
      <w:bCs/>
      <w:color w:val="FFFFFF"/>
      <w:sz w:val="18"/>
      <w:szCs w:val="18"/>
    </w:rPr>
  </w:style>
  <w:style w:type="paragraph" w:customStyle="1" w:styleId="xl74">
    <w:name w:val="xl74"/>
    <w:basedOn w:val="Normal"/>
    <w:rsid w:val="00A160C2"/>
    <w:pPr>
      <w:pBdr>
        <w:left w:val="single" w:sz="4" w:space="0" w:color="95B3D7"/>
        <w:bottom w:val="single" w:sz="4" w:space="0" w:color="95B3D7"/>
      </w:pBdr>
      <w:shd w:val="clear" w:color="DBE5F1" w:fill="DBE5F1"/>
      <w:spacing w:before="100" w:beforeAutospacing="1" w:after="100" w:afterAutospacing="1" w:line="240" w:lineRule="auto"/>
    </w:pPr>
    <w:rPr>
      <w:rFonts w:ascii="Arial" w:eastAsia="Times New Roman" w:hAnsi="Arial" w:cs="Arial"/>
      <w:sz w:val="18"/>
      <w:szCs w:val="18"/>
    </w:rPr>
  </w:style>
  <w:style w:type="paragraph" w:customStyle="1" w:styleId="xl75">
    <w:name w:val="xl75"/>
    <w:basedOn w:val="Normal"/>
    <w:rsid w:val="00A160C2"/>
    <w:pPr>
      <w:pBdr>
        <w:bottom w:val="single" w:sz="4" w:space="0" w:color="95B3D7"/>
      </w:pBdr>
      <w:shd w:val="clear" w:color="DBE5F1" w:fill="DBE5F1"/>
      <w:spacing w:before="100" w:beforeAutospacing="1" w:after="100" w:afterAutospacing="1" w:line="240" w:lineRule="auto"/>
      <w:ind w:firstLineChars="100" w:firstLine="100"/>
      <w:jc w:val="right"/>
    </w:pPr>
    <w:rPr>
      <w:rFonts w:ascii="Arial" w:eastAsia="Times New Roman" w:hAnsi="Arial" w:cs="Arial"/>
      <w:sz w:val="18"/>
      <w:szCs w:val="18"/>
    </w:rPr>
  </w:style>
  <w:style w:type="paragraph" w:customStyle="1" w:styleId="xl76">
    <w:name w:val="xl76"/>
    <w:basedOn w:val="Normal"/>
    <w:rsid w:val="00A160C2"/>
    <w:pPr>
      <w:pBdr>
        <w:bottom w:val="single" w:sz="4" w:space="0" w:color="95B3D7"/>
      </w:pBdr>
      <w:shd w:val="clear" w:color="DBE5F1" w:fill="DBE5F1"/>
      <w:spacing w:before="100" w:beforeAutospacing="1" w:after="100" w:afterAutospacing="1" w:line="240" w:lineRule="auto"/>
    </w:pPr>
    <w:rPr>
      <w:rFonts w:ascii="Arial" w:eastAsia="Times New Roman" w:hAnsi="Arial" w:cs="Arial"/>
      <w:sz w:val="18"/>
      <w:szCs w:val="18"/>
    </w:rPr>
  </w:style>
  <w:style w:type="paragraph" w:customStyle="1" w:styleId="xl77">
    <w:name w:val="xl77"/>
    <w:basedOn w:val="Normal"/>
    <w:rsid w:val="00A160C2"/>
    <w:pPr>
      <w:pBdr>
        <w:bottom w:val="single" w:sz="4" w:space="0" w:color="95B3D7"/>
      </w:pBdr>
      <w:shd w:val="clear" w:color="DBE5F1" w:fill="DBE5F1"/>
      <w:spacing w:before="100" w:beforeAutospacing="1" w:after="100" w:afterAutospacing="1" w:line="240" w:lineRule="auto"/>
    </w:pPr>
    <w:rPr>
      <w:rFonts w:ascii="Arial" w:eastAsia="Times New Roman" w:hAnsi="Arial" w:cs="Arial"/>
      <w:sz w:val="18"/>
      <w:szCs w:val="18"/>
    </w:rPr>
  </w:style>
  <w:style w:type="paragraph" w:customStyle="1" w:styleId="xl78">
    <w:name w:val="xl78"/>
    <w:basedOn w:val="Normal"/>
    <w:rsid w:val="00A160C2"/>
    <w:pPr>
      <w:pBdr>
        <w:bottom w:val="single" w:sz="4" w:space="0" w:color="95B3D7"/>
        <w:right w:val="single" w:sz="4" w:space="0" w:color="95B3D7"/>
      </w:pBdr>
      <w:shd w:val="clear" w:color="DBE5F1" w:fill="DBE5F1"/>
      <w:spacing w:before="100" w:beforeAutospacing="1" w:after="100" w:afterAutospacing="1" w:line="240" w:lineRule="auto"/>
    </w:pPr>
    <w:rPr>
      <w:rFonts w:ascii="Arial" w:eastAsia="Times New Roman" w:hAnsi="Arial" w:cs="Arial"/>
      <w:sz w:val="18"/>
      <w:szCs w:val="18"/>
    </w:rPr>
  </w:style>
  <w:style w:type="paragraph" w:customStyle="1" w:styleId="xl79">
    <w:name w:val="xl79"/>
    <w:basedOn w:val="Normal"/>
    <w:rsid w:val="00A160C2"/>
    <w:pPr>
      <w:pBdr>
        <w:left w:val="single" w:sz="4" w:space="0" w:color="95B3D7"/>
        <w:bottom w:val="single" w:sz="4" w:space="0" w:color="95B3D7"/>
      </w:pBdr>
      <w:spacing w:before="100" w:beforeAutospacing="1" w:after="100" w:afterAutospacing="1" w:line="240" w:lineRule="auto"/>
    </w:pPr>
    <w:rPr>
      <w:rFonts w:ascii="Arial" w:eastAsia="Times New Roman" w:hAnsi="Arial" w:cs="Arial"/>
      <w:sz w:val="18"/>
      <w:szCs w:val="18"/>
    </w:rPr>
  </w:style>
  <w:style w:type="paragraph" w:customStyle="1" w:styleId="xl80">
    <w:name w:val="xl80"/>
    <w:basedOn w:val="Normal"/>
    <w:rsid w:val="00A160C2"/>
    <w:pPr>
      <w:pBdr>
        <w:bottom w:val="single" w:sz="4" w:space="0" w:color="95B3D7"/>
      </w:pBdr>
      <w:spacing w:before="100" w:beforeAutospacing="1" w:after="100" w:afterAutospacing="1" w:line="240" w:lineRule="auto"/>
      <w:ind w:firstLineChars="100" w:firstLine="100"/>
      <w:jc w:val="right"/>
    </w:pPr>
    <w:rPr>
      <w:rFonts w:ascii="Arial" w:eastAsia="Times New Roman" w:hAnsi="Arial" w:cs="Arial"/>
      <w:sz w:val="18"/>
      <w:szCs w:val="18"/>
    </w:rPr>
  </w:style>
  <w:style w:type="paragraph" w:customStyle="1" w:styleId="xl81">
    <w:name w:val="xl81"/>
    <w:basedOn w:val="Normal"/>
    <w:rsid w:val="00A160C2"/>
    <w:pPr>
      <w:pBdr>
        <w:bottom w:val="single" w:sz="4" w:space="0" w:color="95B3D7"/>
      </w:pBdr>
      <w:spacing w:before="100" w:beforeAutospacing="1" w:after="100" w:afterAutospacing="1" w:line="240" w:lineRule="auto"/>
    </w:pPr>
    <w:rPr>
      <w:rFonts w:ascii="Arial" w:eastAsia="Times New Roman" w:hAnsi="Arial" w:cs="Arial"/>
      <w:sz w:val="18"/>
      <w:szCs w:val="18"/>
    </w:rPr>
  </w:style>
  <w:style w:type="paragraph" w:customStyle="1" w:styleId="xl82">
    <w:name w:val="xl82"/>
    <w:basedOn w:val="Normal"/>
    <w:rsid w:val="00A160C2"/>
    <w:pPr>
      <w:pBdr>
        <w:bottom w:val="single" w:sz="4" w:space="0" w:color="95B3D7"/>
      </w:pBdr>
      <w:spacing w:before="100" w:beforeAutospacing="1" w:after="100" w:afterAutospacing="1" w:line="240" w:lineRule="auto"/>
    </w:pPr>
    <w:rPr>
      <w:rFonts w:ascii="Arial" w:eastAsia="Times New Roman" w:hAnsi="Arial" w:cs="Arial"/>
      <w:sz w:val="18"/>
      <w:szCs w:val="18"/>
    </w:rPr>
  </w:style>
  <w:style w:type="paragraph" w:customStyle="1" w:styleId="xl83">
    <w:name w:val="xl83"/>
    <w:basedOn w:val="Normal"/>
    <w:rsid w:val="00A160C2"/>
    <w:pPr>
      <w:pBdr>
        <w:bottom w:val="single" w:sz="4" w:space="0" w:color="95B3D7"/>
        <w:right w:val="single" w:sz="4" w:space="0" w:color="95B3D7"/>
      </w:pBdr>
      <w:spacing w:before="100" w:beforeAutospacing="1" w:after="100" w:afterAutospacing="1" w:line="240" w:lineRule="auto"/>
    </w:pPr>
    <w:rPr>
      <w:rFonts w:ascii="Arial" w:eastAsia="Times New Roman" w:hAnsi="Arial" w:cs="Arial"/>
      <w:sz w:val="18"/>
      <w:szCs w:val="18"/>
    </w:rPr>
  </w:style>
  <w:style w:type="paragraph" w:customStyle="1" w:styleId="xl84">
    <w:name w:val="xl84"/>
    <w:basedOn w:val="Normal"/>
    <w:rsid w:val="00A160C2"/>
    <w:pPr>
      <w:pBdr>
        <w:left w:val="single" w:sz="4" w:space="7" w:color="95B3D7"/>
        <w:bottom w:val="single" w:sz="4" w:space="0" w:color="95B3D7"/>
      </w:pBdr>
      <w:spacing w:before="100" w:beforeAutospacing="1" w:after="100" w:afterAutospacing="1" w:line="240" w:lineRule="auto"/>
      <w:ind w:firstLineChars="100" w:firstLine="100"/>
    </w:pPr>
    <w:rPr>
      <w:rFonts w:ascii="Arial" w:eastAsia="Times New Roman" w:hAnsi="Arial" w:cs="Arial"/>
      <w:sz w:val="18"/>
      <w:szCs w:val="18"/>
    </w:rPr>
  </w:style>
  <w:style w:type="paragraph" w:customStyle="1" w:styleId="xl85">
    <w:name w:val="xl85"/>
    <w:basedOn w:val="Normal"/>
    <w:rsid w:val="00A160C2"/>
    <w:pPr>
      <w:pBdr>
        <w:left w:val="single" w:sz="4" w:space="7" w:color="95B3D7"/>
        <w:bottom w:val="single" w:sz="4" w:space="0" w:color="95B3D7"/>
      </w:pBdr>
      <w:shd w:val="clear" w:color="DBE5F1" w:fill="DBE5F1"/>
      <w:spacing w:before="100" w:beforeAutospacing="1" w:after="100" w:afterAutospacing="1" w:line="240" w:lineRule="auto"/>
      <w:ind w:firstLineChars="100" w:firstLine="100"/>
    </w:pPr>
    <w:rPr>
      <w:rFonts w:ascii="Arial" w:eastAsia="Times New Roman" w:hAnsi="Arial" w:cs="Arial"/>
      <w:sz w:val="18"/>
      <w:szCs w:val="18"/>
    </w:rPr>
  </w:style>
  <w:style w:type="paragraph" w:customStyle="1" w:styleId="xl86">
    <w:name w:val="xl86"/>
    <w:basedOn w:val="Normal"/>
    <w:rsid w:val="00A160C2"/>
    <w:pPr>
      <w:pBdr>
        <w:left w:val="single" w:sz="4" w:space="0" w:color="95B3D7"/>
        <w:bottom w:val="single" w:sz="4" w:space="0" w:color="95B3D7"/>
      </w:pBdr>
      <w:shd w:val="clear" w:color="DBE5F1" w:fill="DBE5F1"/>
      <w:spacing w:before="100" w:beforeAutospacing="1" w:after="100" w:afterAutospacing="1" w:line="240" w:lineRule="auto"/>
    </w:pPr>
    <w:rPr>
      <w:rFonts w:ascii="Arial" w:eastAsia="Times New Roman" w:hAnsi="Arial" w:cs="Arial"/>
      <w:sz w:val="18"/>
      <w:szCs w:val="18"/>
    </w:rPr>
  </w:style>
  <w:style w:type="paragraph" w:customStyle="1" w:styleId="xl87">
    <w:name w:val="xl87"/>
    <w:basedOn w:val="Normal"/>
    <w:rsid w:val="00A160C2"/>
    <w:pPr>
      <w:pBdr>
        <w:left w:val="single" w:sz="4" w:space="0" w:color="95B3D7"/>
        <w:bottom w:val="single" w:sz="4" w:space="0" w:color="95B3D7"/>
      </w:pBdr>
      <w:spacing w:before="100" w:beforeAutospacing="1" w:after="100" w:afterAutospacing="1" w:line="240" w:lineRule="auto"/>
    </w:pPr>
    <w:rPr>
      <w:rFonts w:ascii="Arial" w:eastAsia="Times New Roman" w:hAnsi="Arial" w:cs="Arial"/>
      <w:sz w:val="18"/>
      <w:szCs w:val="18"/>
    </w:rPr>
  </w:style>
  <w:style w:type="table" w:customStyle="1" w:styleId="MediumShading1-Accent11">
    <w:name w:val="Medium Shading 1 - Accent 11"/>
    <w:basedOn w:val="TableNormal"/>
    <w:uiPriority w:val="63"/>
    <w:rsid w:val="00A160C2"/>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TOC5">
    <w:name w:val="toc 5"/>
    <w:basedOn w:val="Normal"/>
    <w:next w:val="Normal"/>
    <w:autoRedefine/>
    <w:uiPriority w:val="39"/>
    <w:unhideWhenUsed/>
    <w:rsid w:val="00A160C2"/>
    <w:pPr>
      <w:spacing w:after="100"/>
      <w:ind w:left="880"/>
    </w:pPr>
    <w:rPr>
      <w:rFonts w:ascii="Calibri" w:eastAsia="Times New Roman" w:hAnsi="Calibri" w:cs="Times New Roman"/>
    </w:rPr>
  </w:style>
  <w:style w:type="paragraph" w:styleId="TOC6">
    <w:name w:val="toc 6"/>
    <w:basedOn w:val="Normal"/>
    <w:next w:val="Normal"/>
    <w:autoRedefine/>
    <w:uiPriority w:val="39"/>
    <w:unhideWhenUsed/>
    <w:rsid w:val="00A160C2"/>
    <w:pPr>
      <w:spacing w:after="100"/>
      <w:ind w:left="1100"/>
    </w:pPr>
    <w:rPr>
      <w:rFonts w:ascii="Calibri" w:eastAsia="Times New Roman" w:hAnsi="Calibri" w:cs="Times New Roman"/>
    </w:rPr>
  </w:style>
  <w:style w:type="paragraph" w:styleId="TOC7">
    <w:name w:val="toc 7"/>
    <w:basedOn w:val="Normal"/>
    <w:next w:val="Normal"/>
    <w:autoRedefine/>
    <w:uiPriority w:val="39"/>
    <w:unhideWhenUsed/>
    <w:rsid w:val="00A160C2"/>
    <w:pPr>
      <w:spacing w:after="100"/>
      <w:ind w:left="1320"/>
    </w:pPr>
    <w:rPr>
      <w:rFonts w:ascii="Calibri" w:eastAsia="Times New Roman" w:hAnsi="Calibri" w:cs="Times New Roman"/>
    </w:rPr>
  </w:style>
  <w:style w:type="paragraph" w:styleId="TOC8">
    <w:name w:val="toc 8"/>
    <w:basedOn w:val="Normal"/>
    <w:next w:val="Normal"/>
    <w:autoRedefine/>
    <w:uiPriority w:val="39"/>
    <w:unhideWhenUsed/>
    <w:rsid w:val="00A160C2"/>
    <w:pPr>
      <w:spacing w:after="100"/>
      <w:ind w:left="1540"/>
    </w:pPr>
    <w:rPr>
      <w:rFonts w:ascii="Calibri" w:eastAsia="Times New Roman" w:hAnsi="Calibri" w:cs="Times New Roman"/>
    </w:rPr>
  </w:style>
  <w:style w:type="paragraph" w:styleId="TOC9">
    <w:name w:val="toc 9"/>
    <w:basedOn w:val="Normal"/>
    <w:next w:val="Normal"/>
    <w:autoRedefine/>
    <w:uiPriority w:val="39"/>
    <w:unhideWhenUsed/>
    <w:rsid w:val="00A160C2"/>
    <w:pPr>
      <w:spacing w:after="100"/>
      <w:ind w:left="1760"/>
    </w:pPr>
    <w:rPr>
      <w:rFonts w:ascii="Calibri" w:eastAsia="Times New Roman" w:hAnsi="Calibri" w:cs="Times New Roman"/>
    </w:rPr>
  </w:style>
  <w:style w:type="paragraph" w:styleId="EndnoteText">
    <w:name w:val="endnote text"/>
    <w:basedOn w:val="Normal"/>
    <w:link w:val="EndnoteTextChar"/>
    <w:uiPriority w:val="99"/>
    <w:semiHidden/>
    <w:unhideWhenUsed/>
    <w:rsid w:val="00127E4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27E49"/>
    <w:rPr>
      <w:sz w:val="20"/>
      <w:szCs w:val="20"/>
    </w:rPr>
  </w:style>
  <w:style w:type="character" w:styleId="EndnoteReference">
    <w:name w:val="endnote reference"/>
    <w:basedOn w:val="DefaultParagraphFont"/>
    <w:uiPriority w:val="99"/>
    <w:semiHidden/>
    <w:unhideWhenUsed/>
    <w:rsid w:val="00127E49"/>
    <w:rPr>
      <w:vertAlign w:val="superscript"/>
    </w:rPr>
  </w:style>
  <w:style w:type="character" w:styleId="PlaceholderText">
    <w:name w:val="Placeholder Text"/>
    <w:basedOn w:val="DefaultParagraphFont"/>
    <w:uiPriority w:val="99"/>
    <w:semiHidden/>
    <w:rsid w:val="003762BD"/>
    <w:rPr>
      <w:color w:val="808080"/>
    </w:rPr>
  </w:style>
  <w:style w:type="character" w:customStyle="1" w:styleId="BodyParaAfterTableFigureChar">
    <w:name w:val="Body Para After Table Figure Char"/>
    <w:basedOn w:val="BodyParagraphChar"/>
    <w:link w:val="BodyParaAfterTableFigure"/>
    <w:uiPriority w:val="99"/>
    <w:rsid w:val="003762BD"/>
    <w:rPr>
      <w:rFonts w:ascii="Verdana" w:hAnsi="Verdana"/>
      <w:sz w:val="18"/>
    </w:rPr>
  </w:style>
  <w:style w:type="character" w:customStyle="1" w:styleId="FootnoteTextChar1">
    <w:name w:val="Footnote Text Char1"/>
    <w:aliases w:val="Footnote Text1 Char Char1,Footnote Text Char Ch Char1"/>
    <w:basedOn w:val="DefaultParagraphFont"/>
    <w:uiPriority w:val="99"/>
    <w:semiHidden/>
    <w:rsid w:val="00FB143E"/>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430906">
      <w:bodyDiv w:val="1"/>
      <w:marLeft w:val="0"/>
      <w:marRight w:val="0"/>
      <w:marTop w:val="0"/>
      <w:marBottom w:val="0"/>
      <w:divBdr>
        <w:top w:val="none" w:sz="0" w:space="0" w:color="auto"/>
        <w:left w:val="none" w:sz="0" w:space="0" w:color="auto"/>
        <w:bottom w:val="none" w:sz="0" w:space="0" w:color="auto"/>
        <w:right w:val="none" w:sz="0" w:space="0" w:color="auto"/>
      </w:divBdr>
    </w:div>
    <w:div w:id="30959080">
      <w:bodyDiv w:val="1"/>
      <w:marLeft w:val="0"/>
      <w:marRight w:val="0"/>
      <w:marTop w:val="0"/>
      <w:marBottom w:val="0"/>
      <w:divBdr>
        <w:top w:val="none" w:sz="0" w:space="0" w:color="auto"/>
        <w:left w:val="none" w:sz="0" w:space="0" w:color="auto"/>
        <w:bottom w:val="none" w:sz="0" w:space="0" w:color="auto"/>
        <w:right w:val="none" w:sz="0" w:space="0" w:color="auto"/>
      </w:divBdr>
    </w:div>
    <w:div w:id="32077546">
      <w:bodyDiv w:val="1"/>
      <w:marLeft w:val="0"/>
      <w:marRight w:val="0"/>
      <w:marTop w:val="0"/>
      <w:marBottom w:val="0"/>
      <w:divBdr>
        <w:top w:val="none" w:sz="0" w:space="0" w:color="auto"/>
        <w:left w:val="none" w:sz="0" w:space="0" w:color="auto"/>
        <w:bottom w:val="none" w:sz="0" w:space="0" w:color="auto"/>
        <w:right w:val="none" w:sz="0" w:space="0" w:color="auto"/>
      </w:divBdr>
    </w:div>
    <w:div w:id="48459710">
      <w:bodyDiv w:val="1"/>
      <w:marLeft w:val="0"/>
      <w:marRight w:val="0"/>
      <w:marTop w:val="0"/>
      <w:marBottom w:val="0"/>
      <w:divBdr>
        <w:top w:val="none" w:sz="0" w:space="0" w:color="auto"/>
        <w:left w:val="none" w:sz="0" w:space="0" w:color="auto"/>
        <w:bottom w:val="none" w:sz="0" w:space="0" w:color="auto"/>
        <w:right w:val="none" w:sz="0" w:space="0" w:color="auto"/>
      </w:divBdr>
    </w:div>
    <w:div w:id="98065783">
      <w:bodyDiv w:val="1"/>
      <w:marLeft w:val="0"/>
      <w:marRight w:val="0"/>
      <w:marTop w:val="0"/>
      <w:marBottom w:val="0"/>
      <w:divBdr>
        <w:top w:val="none" w:sz="0" w:space="0" w:color="auto"/>
        <w:left w:val="none" w:sz="0" w:space="0" w:color="auto"/>
        <w:bottom w:val="none" w:sz="0" w:space="0" w:color="auto"/>
        <w:right w:val="none" w:sz="0" w:space="0" w:color="auto"/>
      </w:divBdr>
    </w:div>
    <w:div w:id="112754289">
      <w:bodyDiv w:val="1"/>
      <w:marLeft w:val="0"/>
      <w:marRight w:val="0"/>
      <w:marTop w:val="0"/>
      <w:marBottom w:val="0"/>
      <w:divBdr>
        <w:top w:val="none" w:sz="0" w:space="0" w:color="auto"/>
        <w:left w:val="none" w:sz="0" w:space="0" w:color="auto"/>
        <w:bottom w:val="none" w:sz="0" w:space="0" w:color="auto"/>
        <w:right w:val="none" w:sz="0" w:space="0" w:color="auto"/>
      </w:divBdr>
    </w:div>
    <w:div w:id="144974712">
      <w:bodyDiv w:val="1"/>
      <w:marLeft w:val="0"/>
      <w:marRight w:val="0"/>
      <w:marTop w:val="0"/>
      <w:marBottom w:val="0"/>
      <w:divBdr>
        <w:top w:val="none" w:sz="0" w:space="0" w:color="auto"/>
        <w:left w:val="none" w:sz="0" w:space="0" w:color="auto"/>
        <w:bottom w:val="none" w:sz="0" w:space="0" w:color="auto"/>
        <w:right w:val="none" w:sz="0" w:space="0" w:color="auto"/>
      </w:divBdr>
    </w:div>
    <w:div w:id="163711140">
      <w:bodyDiv w:val="1"/>
      <w:marLeft w:val="0"/>
      <w:marRight w:val="0"/>
      <w:marTop w:val="0"/>
      <w:marBottom w:val="0"/>
      <w:divBdr>
        <w:top w:val="none" w:sz="0" w:space="0" w:color="auto"/>
        <w:left w:val="none" w:sz="0" w:space="0" w:color="auto"/>
        <w:bottom w:val="none" w:sz="0" w:space="0" w:color="auto"/>
        <w:right w:val="none" w:sz="0" w:space="0" w:color="auto"/>
      </w:divBdr>
    </w:div>
    <w:div w:id="199518387">
      <w:bodyDiv w:val="1"/>
      <w:marLeft w:val="0"/>
      <w:marRight w:val="0"/>
      <w:marTop w:val="0"/>
      <w:marBottom w:val="0"/>
      <w:divBdr>
        <w:top w:val="none" w:sz="0" w:space="0" w:color="auto"/>
        <w:left w:val="none" w:sz="0" w:space="0" w:color="auto"/>
        <w:bottom w:val="none" w:sz="0" w:space="0" w:color="auto"/>
        <w:right w:val="none" w:sz="0" w:space="0" w:color="auto"/>
      </w:divBdr>
    </w:div>
    <w:div w:id="249507019">
      <w:bodyDiv w:val="1"/>
      <w:marLeft w:val="0"/>
      <w:marRight w:val="0"/>
      <w:marTop w:val="0"/>
      <w:marBottom w:val="0"/>
      <w:divBdr>
        <w:top w:val="none" w:sz="0" w:space="0" w:color="auto"/>
        <w:left w:val="none" w:sz="0" w:space="0" w:color="auto"/>
        <w:bottom w:val="none" w:sz="0" w:space="0" w:color="auto"/>
        <w:right w:val="none" w:sz="0" w:space="0" w:color="auto"/>
      </w:divBdr>
    </w:div>
    <w:div w:id="266474865">
      <w:bodyDiv w:val="1"/>
      <w:marLeft w:val="0"/>
      <w:marRight w:val="0"/>
      <w:marTop w:val="0"/>
      <w:marBottom w:val="0"/>
      <w:divBdr>
        <w:top w:val="none" w:sz="0" w:space="0" w:color="auto"/>
        <w:left w:val="none" w:sz="0" w:space="0" w:color="auto"/>
        <w:bottom w:val="none" w:sz="0" w:space="0" w:color="auto"/>
        <w:right w:val="none" w:sz="0" w:space="0" w:color="auto"/>
      </w:divBdr>
    </w:div>
    <w:div w:id="272369509">
      <w:bodyDiv w:val="1"/>
      <w:marLeft w:val="0"/>
      <w:marRight w:val="0"/>
      <w:marTop w:val="0"/>
      <w:marBottom w:val="0"/>
      <w:divBdr>
        <w:top w:val="none" w:sz="0" w:space="0" w:color="auto"/>
        <w:left w:val="none" w:sz="0" w:space="0" w:color="auto"/>
        <w:bottom w:val="none" w:sz="0" w:space="0" w:color="auto"/>
        <w:right w:val="none" w:sz="0" w:space="0" w:color="auto"/>
      </w:divBdr>
    </w:div>
    <w:div w:id="283275048">
      <w:bodyDiv w:val="1"/>
      <w:marLeft w:val="0"/>
      <w:marRight w:val="0"/>
      <w:marTop w:val="0"/>
      <w:marBottom w:val="0"/>
      <w:divBdr>
        <w:top w:val="none" w:sz="0" w:space="0" w:color="auto"/>
        <w:left w:val="none" w:sz="0" w:space="0" w:color="auto"/>
        <w:bottom w:val="none" w:sz="0" w:space="0" w:color="auto"/>
        <w:right w:val="none" w:sz="0" w:space="0" w:color="auto"/>
      </w:divBdr>
    </w:div>
    <w:div w:id="310868356">
      <w:bodyDiv w:val="1"/>
      <w:marLeft w:val="0"/>
      <w:marRight w:val="0"/>
      <w:marTop w:val="0"/>
      <w:marBottom w:val="0"/>
      <w:divBdr>
        <w:top w:val="none" w:sz="0" w:space="0" w:color="auto"/>
        <w:left w:val="none" w:sz="0" w:space="0" w:color="auto"/>
        <w:bottom w:val="none" w:sz="0" w:space="0" w:color="auto"/>
        <w:right w:val="none" w:sz="0" w:space="0" w:color="auto"/>
      </w:divBdr>
    </w:div>
    <w:div w:id="338124965">
      <w:bodyDiv w:val="1"/>
      <w:marLeft w:val="0"/>
      <w:marRight w:val="0"/>
      <w:marTop w:val="0"/>
      <w:marBottom w:val="0"/>
      <w:divBdr>
        <w:top w:val="none" w:sz="0" w:space="0" w:color="auto"/>
        <w:left w:val="none" w:sz="0" w:space="0" w:color="auto"/>
        <w:bottom w:val="none" w:sz="0" w:space="0" w:color="auto"/>
        <w:right w:val="none" w:sz="0" w:space="0" w:color="auto"/>
      </w:divBdr>
    </w:div>
    <w:div w:id="341854225">
      <w:bodyDiv w:val="1"/>
      <w:marLeft w:val="0"/>
      <w:marRight w:val="0"/>
      <w:marTop w:val="0"/>
      <w:marBottom w:val="0"/>
      <w:divBdr>
        <w:top w:val="none" w:sz="0" w:space="0" w:color="auto"/>
        <w:left w:val="none" w:sz="0" w:space="0" w:color="auto"/>
        <w:bottom w:val="none" w:sz="0" w:space="0" w:color="auto"/>
        <w:right w:val="none" w:sz="0" w:space="0" w:color="auto"/>
      </w:divBdr>
    </w:div>
    <w:div w:id="406197661">
      <w:bodyDiv w:val="1"/>
      <w:marLeft w:val="0"/>
      <w:marRight w:val="0"/>
      <w:marTop w:val="0"/>
      <w:marBottom w:val="0"/>
      <w:divBdr>
        <w:top w:val="none" w:sz="0" w:space="0" w:color="auto"/>
        <w:left w:val="none" w:sz="0" w:space="0" w:color="auto"/>
        <w:bottom w:val="none" w:sz="0" w:space="0" w:color="auto"/>
        <w:right w:val="none" w:sz="0" w:space="0" w:color="auto"/>
      </w:divBdr>
    </w:div>
    <w:div w:id="421800841">
      <w:bodyDiv w:val="1"/>
      <w:marLeft w:val="0"/>
      <w:marRight w:val="0"/>
      <w:marTop w:val="0"/>
      <w:marBottom w:val="0"/>
      <w:divBdr>
        <w:top w:val="none" w:sz="0" w:space="0" w:color="auto"/>
        <w:left w:val="none" w:sz="0" w:space="0" w:color="auto"/>
        <w:bottom w:val="none" w:sz="0" w:space="0" w:color="auto"/>
        <w:right w:val="none" w:sz="0" w:space="0" w:color="auto"/>
      </w:divBdr>
    </w:div>
    <w:div w:id="426537915">
      <w:bodyDiv w:val="1"/>
      <w:marLeft w:val="0"/>
      <w:marRight w:val="0"/>
      <w:marTop w:val="0"/>
      <w:marBottom w:val="0"/>
      <w:divBdr>
        <w:top w:val="none" w:sz="0" w:space="0" w:color="auto"/>
        <w:left w:val="none" w:sz="0" w:space="0" w:color="auto"/>
        <w:bottom w:val="none" w:sz="0" w:space="0" w:color="auto"/>
        <w:right w:val="none" w:sz="0" w:space="0" w:color="auto"/>
      </w:divBdr>
    </w:div>
    <w:div w:id="454522573">
      <w:bodyDiv w:val="1"/>
      <w:marLeft w:val="0"/>
      <w:marRight w:val="0"/>
      <w:marTop w:val="0"/>
      <w:marBottom w:val="0"/>
      <w:divBdr>
        <w:top w:val="none" w:sz="0" w:space="0" w:color="auto"/>
        <w:left w:val="none" w:sz="0" w:space="0" w:color="auto"/>
        <w:bottom w:val="none" w:sz="0" w:space="0" w:color="auto"/>
        <w:right w:val="none" w:sz="0" w:space="0" w:color="auto"/>
      </w:divBdr>
    </w:div>
    <w:div w:id="472329428">
      <w:bodyDiv w:val="1"/>
      <w:marLeft w:val="0"/>
      <w:marRight w:val="0"/>
      <w:marTop w:val="0"/>
      <w:marBottom w:val="0"/>
      <w:divBdr>
        <w:top w:val="none" w:sz="0" w:space="0" w:color="auto"/>
        <w:left w:val="none" w:sz="0" w:space="0" w:color="auto"/>
        <w:bottom w:val="none" w:sz="0" w:space="0" w:color="auto"/>
        <w:right w:val="none" w:sz="0" w:space="0" w:color="auto"/>
      </w:divBdr>
    </w:div>
    <w:div w:id="486283159">
      <w:bodyDiv w:val="1"/>
      <w:marLeft w:val="0"/>
      <w:marRight w:val="0"/>
      <w:marTop w:val="0"/>
      <w:marBottom w:val="0"/>
      <w:divBdr>
        <w:top w:val="none" w:sz="0" w:space="0" w:color="auto"/>
        <w:left w:val="none" w:sz="0" w:space="0" w:color="auto"/>
        <w:bottom w:val="none" w:sz="0" w:space="0" w:color="auto"/>
        <w:right w:val="none" w:sz="0" w:space="0" w:color="auto"/>
      </w:divBdr>
    </w:div>
    <w:div w:id="535849661">
      <w:bodyDiv w:val="1"/>
      <w:marLeft w:val="0"/>
      <w:marRight w:val="0"/>
      <w:marTop w:val="0"/>
      <w:marBottom w:val="0"/>
      <w:divBdr>
        <w:top w:val="none" w:sz="0" w:space="0" w:color="auto"/>
        <w:left w:val="none" w:sz="0" w:space="0" w:color="auto"/>
        <w:bottom w:val="none" w:sz="0" w:space="0" w:color="auto"/>
        <w:right w:val="none" w:sz="0" w:space="0" w:color="auto"/>
      </w:divBdr>
    </w:div>
    <w:div w:id="544754194">
      <w:bodyDiv w:val="1"/>
      <w:marLeft w:val="0"/>
      <w:marRight w:val="0"/>
      <w:marTop w:val="0"/>
      <w:marBottom w:val="0"/>
      <w:divBdr>
        <w:top w:val="none" w:sz="0" w:space="0" w:color="auto"/>
        <w:left w:val="none" w:sz="0" w:space="0" w:color="auto"/>
        <w:bottom w:val="none" w:sz="0" w:space="0" w:color="auto"/>
        <w:right w:val="none" w:sz="0" w:space="0" w:color="auto"/>
      </w:divBdr>
    </w:div>
    <w:div w:id="568661324">
      <w:bodyDiv w:val="1"/>
      <w:marLeft w:val="0"/>
      <w:marRight w:val="0"/>
      <w:marTop w:val="0"/>
      <w:marBottom w:val="0"/>
      <w:divBdr>
        <w:top w:val="none" w:sz="0" w:space="0" w:color="auto"/>
        <w:left w:val="none" w:sz="0" w:space="0" w:color="auto"/>
        <w:bottom w:val="none" w:sz="0" w:space="0" w:color="auto"/>
        <w:right w:val="none" w:sz="0" w:space="0" w:color="auto"/>
      </w:divBdr>
    </w:div>
    <w:div w:id="570628149">
      <w:bodyDiv w:val="1"/>
      <w:marLeft w:val="0"/>
      <w:marRight w:val="0"/>
      <w:marTop w:val="0"/>
      <w:marBottom w:val="0"/>
      <w:divBdr>
        <w:top w:val="none" w:sz="0" w:space="0" w:color="auto"/>
        <w:left w:val="none" w:sz="0" w:space="0" w:color="auto"/>
        <w:bottom w:val="none" w:sz="0" w:space="0" w:color="auto"/>
        <w:right w:val="none" w:sz="0" w:space="0" w:color="auto"/>
      </w:divBdr>
    </w:div>
    <w:div w:id="572200247">
      <w:bodyDiv w:val="1"/>
      <w:marLeft w:val="0"/>
      <w:marRight w:val="0"/>
      <w:marTop w:val="0"/>
      <w:marBottom w:val="0"/>
      <w:divBdr>
        <w:top w:val="none" w:sz="0" w:space="0" w:color="auto"/>
        <w:left w:val="none" w:sz="0" w:space="0" w:color="auto"/>
        <w:bottom w:val="none" w:sz="0" w:space="0" w:color="auto"/>
        <w:right w:val="none" w:sz="0" w:space="0" w:color="auto"/>
      </w:divBdr>
    </w:div>
    <w:div w:id="575170644">
      <w:bodyDiv w:val="1"/>
      <w:marLeft w:val="0"/>
      <w:marRight w:val="0"/>
      <w:marTop w:val="0"/>
      <w:marBottom w:val="0"/>
      <w:divBdr>
        <w:top w:val="none" w:sz="0" w:space="0" w:color="auto"/>
        <w:left w:val="none" w:sz="0" w:space="0" w:color="auto"/>
        <w:bottom w:val="none" w:sz="0" w:space="0" w:color="auto"/>
        <w:right w:val="none" w:sz="0" w:space="0" w:color="auto"/>
      </w:divBdr>
    </w:div>
    <w:div w:id="580217997">
      <w:bodyDiv w:val="1"/>
      <w:marLeft w:val="0"/>
      <w:marRight w:val="0"/>
      <w:marTop w:val="0"/>
      <w:marBottom w:val="0"/>
      <w:divBdr>
        <w:top w:val="none" w:sz="0" w:space="0" w:color="auto"/>
        <w:left w:val="none" w:sz="0" w:space="0" w:color="auto"/>
        <w:bottom w:val="none" w:sz="0" w:space="0" w:color="auto"/>
        <w:right w:val="none" w:sz="0" w:space="0" w:color="auto"/>
      </w:divBdr>
    </w:div>
    <w:div w:id="580333045">
      <w:bodyDiv w:val="1"/>
      <w:marLeft w:val="0"/>
      <w:marRight w:val="0"/>
      <w:marTop w:val="0"/>
      <w:marBottom w:val="0"/>
      <w:divBdr>
        <w:top w:val="none" w:sz="0" w:space="0" w:color="auto"/>
        <w:left w:val="none" w:sz="0" w:space="0" w:color="auto"/>
        <w:bottom w:val="none" w:sz="0" w:space="0" w:color="auto"/>
        <w:right w:val="none" w:sz="0" w:space="0" w:color="auto"/>
      </w:divBdr>
    </w:div>
    <w:div w:id="624895481">
      <w:bodyDiv w:val="1"/>
      <w:marLeft w:val="0"/>
      <w:marRight w:val="0"/>
      <w:marTop w:val="0"/>
      <w:marBottom w:val="0"/>
      <w:divBdr>
        <w:top w:val="none" w:sz="0" w:space="0" w:color="auto"/>
        <w:left w:val="none" w:sz="0" w:space="0" w:color="auto"/>
        <w:bottom w:val="none" w:sz="0" w:space="0" w:color="auto"/>
        <w:right w:val="none" w:sz="0" w:space="0" w:color="auto"/>
      </w:divBdr>
    </w:div>
    <w:div w:id="639261584">
      <w:bodyDiv w:val="1"/>
      <w:marLeft w:val="0"/>
      <w:marRight w:val="0"/>
      <w:marTop w:val="0"/>
      <w:marBottom w:val="0"/>
      <w:divBdr>
        <w:top w:val="none" w:sz="0" w:space="0" w:color="auto"/>
        <w:left w:val="none" w:sz="0" w:space="0" w:color="auto"/>
        <w:bottom w:val="none" w:sz="0" w:space="0" w:color="auto"/>
        <w:right w:val="none" w:sz="0" w:space="0" w:color="auto"/>
      </w:divBdr>
    </w:div>
    <w:div w:id="650064810">
      <w:bodyDiv w:val="1"/>
      <w:marLeft w:val="0"/>
      <w:marRight w:val="0"/>
      <w:marTop w:val="0"/>
      <w:marBottom w:val="0"/>
      <w:divBdr>
        <w:top w:val="none" w:sz="0" w:space="0" w:color="auto"/>
        <w:left w:val="none" w:sz="0" w:space="0" w:color="auto"/>
        <w:bottom w:val="none" w:sz="0" w:space="0" w:color="auto"/>
        <w:right w:val="none" w:sz="0" w:space="0" w:color="auto"/>
      </w:divBdr>
    </w:div>
    <w:div w:id="656612959">
      <w:bodyDiv w:val="1"/>
      <w:marLeft w:val="0"/>
      <w:marRight w:val="0"/>
      <w:marTop w:val="0"/>
      <w:marBottom w:val="0"/>
      <w:divBdr>
        <w:top w:val="none" w:sz="0" w:space="0" w:color="auto"/>
        <w:left w:val="none" w:sz="0" w:space="0" w:color="auto"/>
        <w:bottom w:val="none" w:sz="0" w:space="0" w:color="auto"/>
        <w:right w:val="none" w:sz="0" w:space="0" w:color="auto"/>
      </w:divBdr>
    </w:div>
    <w:div w:id="665090087">
      <w:bodyDiv w:val="1"/>
      <w:marLeft w:val="0"/>
      <w:marRight w:val="0"/>
      <w:marTop w:val="0"/>
      <w:marBottom w:val="0"/>
      <w:divBdr>
        <w:top w:val="none" w:sz="0" w:space="0" w:color="auto"/>
        <w:left w:val="none" w:sz="0" w:space="0" w:color="auto"/>
        <w:bottom w:val="none" w:sz="0" w:space="0" w:color="auto"/>
        <w:right w:val="none" w:sz="0" w:space="0" w:color="auto"/>
      </w:divBdr>
    </w:div>
    <w:div w:id="671184776">
      <w:bodyDiv w:val="1"/>
      <w:marLeft w:val="0"/>
      <w:marRight w:val="0"/>
      <w:marTop w:val="0"/>
      <w:marBottom w:val="0"/>
      <w:divBdr>
        <w:top w:val="none" w:sz="0" w:space="0" w:color="auto"/>
        <w:left w:val="none" w:sz="0" w:space="0" w:color="auto"/>
        <w:bottom w:val="none" w:sz="0" w:space="0" w:color="auto"/>
        <w:right w:val="none" w:sz="0" w:space="0" w:color="auto"/>
      </w:divBdr>
    </w:div>
    <w:div w:id="677662283">
      <w:bodyDiv w:val="1"/>
      <w:marLeft w:val="0"/>
      <w:marRight w:val="0"/>
      <w:marTop w:val="0"/>
      <w:marBottom w:val="0"/>
      <w:divBdr>
        <w:top w:val="none" w:sz="0" w:space="0" w:color="auto"/>
        <w:left w:val="none" w:sz="0" w:space="0" w:color="auto"/>
        <w:bottom w:val="none" w:sz="0" w:space="0" w:color="auto"/>
        <w:right w:val="none" w:sz="0" w:space="0" w:color="auto"/>
      </w:divBdr>
    </w:div>
    <w:div w:id="680281548">
      <w:bodyDiv w:val="1"/>
      <w:marLeft w:val="0"/>
      <w:marRight w:val="0"/>
      <w:marTop w:val="0"/>
      <w:marBottom w:val="0"/>
      <w:divBdr>
        <w:top w:val="none" w:sz="0" w:space="0" w:color="auto"/>
        <w:left w:val="none" w:sz="0" w:space="0" w:color="auto"/>
        <w:bottom w:val="none" w:sz="0" w:space="0" w:color="auto"/>
        <w:right w:val="none" w:sz="0" w:space="0" w:color="auto"/>
      </w:divBdr>
    </w:div>
    <w:div w:id="683096712">
      <w:bodyDiv w:val="1"/>
      <w:marLeft w:val="0"/>
      <w:marRight w:val="0"/>
      <w:marTop w:val="0"/>
      <w:marBottom w:val="0"/>
      <w:divBdr>
        <w:top w:val="none" w:sz="0" w:space="0" w:color="auto"/>
        <w:left w:val="none" w:sz="0" w:space="0" w:color="auto"/>
        <w:bottom w:val="none" w:sz="0" w:space="0" w:color="auto"/>
        <w:right w:val="none" w:sz="0" w:space="0" w:color="auto"/>
      </w:divBdr>
    </w:div>
    <w:div w:id="775369910">
      <w:bodyDiv w:val="1"/>
      <w:marLeft w:val="0"/>
      <w:marRight w:val="0"/>
      <w:marTop w:val="0"/>
      <w:marBottom w:val="0"/>
      <w:divBdr>
        <w:top w:val="none" w:sz="0" w:space="0" w:color="auto"/>
        <w:left w:val="none" w:sz="0" w:space="0" w:color="auto"/>
        <w:bottom w:val="none" w:sz="0" w:space="0" w:color="auto"/>
        <w:right w:val="none" w:sz="0" w:space="0" w:color="auto"/>
      </w:divBdr>
    </w:div>
    <w:div w:id="777872735">
      <w:bodyDiv w:val="1"/>
      <w:marLeft w:val="0"/>
      <w:marRight w:val="0"/>
      <w:marTop w:val="0"/>
      <w:marBottom w:val="0"/>
      <w:divBdr>
        <w:top w:val="none" w:sz="0" w:space="0" w:color="auto"/>
        <w:left w:val="none" w:sz="0" w:space="0" w:color="auto"/>
        <w:bottom w:val="none" w:sz="0" w:space="0" w:color="auto"/>
        <w:right w:val="none" w:sz="0" w:space="0" w:color="auto"/>
      </w:divBdr>
    </w:div>
    <w:div w:id="790320044">
      <w:bodyDiv w:val="1"/>
      <w:marLeft w:val="0"/>
      <w:marRight w:val="0"/>
      <w:marTop w:val="0"/>
      <w:marBottom w:val="0"/>
      <w:divBdr>
        <w:top w:val="none" w:sz="0" w:space="0" w:color="auto"/>
        <w:left w:val="none" w:sz="0" w:space="0" w:color="auto"/>
        <w:bottom w:val="none" w:sz="0" w:space="0" w:color="auto"/>
        <w:right w:val="none" w:sz="0" w:space="0" w:color="auto"/>
      </w:divBdr>
    </w:div>
    <w:div w:id="798692149">
      <w:bodyDiv w:val="1"/>
      <w:marLeft w:val="0"/>
      <w:marRight w:val="0"/>
      <w:marTop w:val="0"/>
      <w:marBottom w:val="0"/>
      <w:divBdr>
        <w:top w:val="none" w:sz="0" w:space="0" w:color="auto"/>
        <w:left w:val="none" w:sz="0" w:space="0" w:color="auto"/>
        <w:bottom w:val="none" w:sz="0" w:space="0" w:color="auto"/>
        <w:right w:val="none" w:sz="0" w:space="0" w:color="auto"/>
      </w:divBdr>
    </w:div>
    <w:div w:id="808089319">
      <w:bodyDiv w:val="1"/>
      <w:marLeft w:val="0"/>
      <w:marRight w:val="0"/>
      <w:marTop w:val="0"/>
      <w:marBottom w:val="0"/>
      <w:divBdr>
        <w:top w:val="none" w:sz="0" w:space="0" w:color="auto"/>
        <w:left w:val="none" w:sz="0" w:space="0" w:color="auto"/>
        <w:bottom w:val="none" w:sz="0" w:space="0" w:color="auto"/>
        <w:right w:val="none" w:sz="0" w:space="0" w:color="auto"/>
      </w:divBdr>
    </w:div>
    <w:div w:id="848059742">
      <w:bodyDiv w:val="1"/>
      <w:marLeft w:val="0"/>
      <w:marRight w:val="0"/>
      <w:marTop w:val="0"/>
      <w:marBottom w:val="0"/>
      <w:divBdr>
        <w:top w:val="none" w:sz="0" w:space="0" w:color="auto"/>
        <w:left w:val="none" w:sz="0" w:space="0" w:color="auto"/>
        <w:bottom w:val="none" w:sz="0" w:space="0" w:color="auto"/>
        <w:right w:val="none" w:sz="0" w:space="0" w:color="auto"/>
      </w:divBdr>
    </w:div>
    <w:div w:id="860511972">
      <w:bodyDiv w:val="1"/>
      <w:marLeft w:val="0"/>
      <w:marRight w:val="0"/>
      <w:marTop w:val="0"/>
      <w:marBottom w:val="0"/>
      <w:divBdr>
        <w:top w:val="none" w:sz="0" w:space="0" w:color="auto"/>
        <w:left w:val="none" w:sz="0" w:space="0" w:color="auto"/>
        <w:bottom w:val="none" w:sz="0" w:space="0" w:color="auto"/>
        <w:right w:val="none" w:sz="0" w:space="0" w:color="auto"/>
      </w:divBdr>
    </w:div>
    <w:div w:id="863634098">
      <w:bodyDiv w:val="1"/>
      <w:marLeft w:val="0"/>
      <w:marRight w:val="0"/>
      <w:marTop w:val="0"/>
      <w:marBottom w:val="0"/>
      <w:divBdr>
        <w:top w:val="none" w:sz="0" w:space="0" w:color="auto"/>
        <w:left w:val="none" w:sz="0" w:space="0" w:color="auto"/>
        <w:bottom w:val="none" w:sz="0" w:space="0" w:color="auto"/>
        <w:right w:val="none" w:sz="0" w:space="0" w:color="auto"/>
      </w:divBdr>
    </w:div>
    <w:div w:id="869417576">
      <w:bodyDiv w:val="1"/>
      <w:marLeft w:val="0"/>
      <w:marRight w:val="0"/>
      <w:marTop w:val="0"/>
      <w:marBottom w:val="0"/>
      <w:divBdr>
        <w:top w:val="none" w:sz="0" w:space="0" w:color="auto"/>
        <w:left w:val="none" w:sz="0" w:space="0" w:color="auto"/>
        <w:bottom w:val="none" w:sz="0" w:space="0" w:color="auto"/>
        <w:right w:val="none" w:sz="0" w:space="0" w:color="auto"/>
      </w:divBdr>
    </w:div>
    <w:div w:id="880822058">
      <w:bodyDiv w:val="1"/>
      <w:marLeft w:val="0"/>
      <w:marRight w:val="0"/>
      <w:marTop w:val="0"/>
      <w:marBottom w:val="0"/>
      <w:divBdr>
        <w:top w:val="none" w:sz="0" w:space="0" w:color="auto"/>
        <w:left w:val="none" w:sz="0" w:space="0" w:color="auto"/>
        <w:bottom w:val="none" w:sz="0" w:space="0" w:color="auto"/>
        <w:right w:val="none" w:sz="0" w:space="0" w:color="auto"/>
      </w:divBdr>
    </w:div>
    <w:div w:id="940911932">
      <w:bodyDiv w:val="1"/>
      <w:marLeft w:val="0"/>
      <w:marRight w:val="0"/>
      <w:marTop w:val="0"/>
      <w:marBottom w:val="0"/>
      <w:divBdr>
        <w:top w:val="none" w:sz="0" w:space="0" w:color="auto"/>
        <w:left w:val="none" w:sz="0" w:space="0" w:color="auto"/>
        <w:bottom w:val="none" w:sz="0" w:space="0" w:color="auto"/>
        <w:right w:val="none" w:sz="0" w:space="0" w:color="auto"/>
      </w:divBdr>
    </w:div>
    <w:div w:id="958075171">
      <w:bodyDiv w:val="1"/>
      <w:marLeft w:val="0"/>
      <w:marRight w:val="0"/>
      <w:marTop w:val="0"/>
      <w:marBottom w:val="0"/>
      <w:divBdr>
        <w:top w:val="none" w:sz="0" w:space="0" w:color="auto"/>
        <w:left w:val="none" w:sz="0" w:space="0" w:color="auto"/>
        <w:bottom w:val="none" w:sz="0" w:space="0" w:color="auto"/>
        <w:right w:val="none" w:sz="0" w:space="0" w:color="auto"/>
      </w:divBdr>
    </w:div>
    <w:div w:id="959337062">
      <w:bodyDiv w:val="1"/>
      <w:marLeft w:val="0"/>
      <w:marRight w:val="0"/>
      <w:marTop w:val="0"/>
      <w:marBottom w:val="0"/>
      <w:divBdr>
        <w:top w:val="none" w:sz="0" w:space="0" w:color="auto"/>
        <w:left w:val="none" w:sz="0" w:space="0" w:color="auto"/>
        <w:bottom w:val="none" w:sz="0" w:space="0" w:color="auto"/>
        <w:right w:val="none" w:sz="0" w:space="0" w:color="auto"/>
      </w:divBdr>
    </w:div>
    <w:div w:id="980306884">
      <w:bodyDiv w:val="1"/>
      <w:marLeft w:val="0"/>
      <w:marRight w:val="0"/>
      <w:marTop w:val="0"/>
      <w:marBottom w:val="0"/>
      <w:divBdr>
        <w:top w:val="none" w:sz="0" w:space="0" w:color="auto"/>
        <w:left w:val="none" w:sz="0" w:space="0" w:color="auto"/>
        <w:bottom w:val="none" w:sz="0" w:space="0" w:color="auto"/>
        <w:right w:val="none" w:sz="0" w:space="0" w:color="auto"/>
      </w:divBdr>
    </w:div>
    <w:div w:id="1022438699">
      <w:bodyDiv w:val="1"/>
      <w:marLeft w:val="0"/>
      <w:marRight w:val="0"/>
      <w:marTop w:val="0"/>
      <w:marBottom w:val="0"/>
      <w:divBdr>
        <w:top w:val="none" w:sz="0" w:space="0" w:color="auto"/>
        <w:left w:val="none" w:sz="0" w:space="0" w:color="auto"/>
        <w:bottom w:val="none" w:sz="0" w:space="0" w:color="auto"/>
        <w:right w:val="none" w:sz="0" w:space="0" w:color="auto"/>
      </w:divBdr>
    </w:div>
    <w:div w:id="1025638982">
      <w:bodyDiv w:val="1"/>
      <w:marLeft w:val="0"/>
      <w:marRight w:val="0"/>
      <w:marTop w:val="0"/>
      <w:marBottom w:val="0"/>
      <w:divBdr>
        <w:top w:val="none" w:sz="0" w:space="0" w:color="auto"/>
        <w:left w:val="none" w:sz="0" w:space="0" w:color="auto"/>
        <w:bottom w:val="none" w:sz="0" w:space="0" w:color="auto"/>
        <w:right w:val="none" w:sz="0" w:space="0" w:color="auto"/>
      </w:divBdr>
    </w:div>
    <w:div w:id="1026754458">
      <w:bodyDiv w:val="1"/>
      <w:marLeft w:val="0"/>
      <w:marRight w:val="0"/>
      <w:marTop w:val="0"/>
      <w:marBottom w:val="0"/>
      <w:divBdr>
        <w:top w:val="none" w:sz="0" w:space="0" w:color="auto"/>
        <w:left w:val="none" w:sz="0" w:space="0" w:color="auto"/>
        <w:bottom w:val="none" w:sz="0" w:space="0" w:color="auto"/>
        <w:right w:val="none" w:sz="0" w:space="0" w:color="auto"/>
      </w:divBdr>
    </w:div>
    <w:div w:id="1038965862">
      <w:bodyDiv w:val="1"/>
      <w:marLeft w:val="0"/>
      <w:marRight w:val="0"/>
      <w:marTop w:val="0"/>
      <w:marBottom w:val="0"/>
      <w:divBdr>
        <w:top w:val="none" w:sz="0" w:space="0" w:color="auto"/>
        <w:left w:val="none" w:sz="0" w:space="0" w:color="auto"/>
        <w:bottom w:val="none" w:sz="0" w:space="0" w:color="auto"/>
        <w:right w:val="none" w:sz="0" w:space="0" w:color="auto"/>
      </w:divBdr>
    </w:div>
    <w:div w:id="1046182759">
      <w:bodyDiv w:val="1"/>
      <w:marLeft w:val="0"/>
      <w:marRight w:val="0"/>
      <w:marTop w:val="0"/>
      <w:marBottom w:val="0"/>
      <w:divBdr>
        <w:top w:val="none" w:sz="0" w:space="0" w:color="auto"/>
        <w:left w:val="none" w:sz="0" w:space="0" w:color="auto"/>
        <w:bottom w:val="none" w:sz="0" w:space="0" w:color="auto"/>
        <w:right w:val="none" w:sz="0" w:space="0" w:color="auto"/>
      </w:divBdr>
    </w:div>
    <w:div w:id="1065372683">
      <w:bodyDiv w:val="1"/>
      <w:marLeft w:val="0"/>
      <w:marRight w:val="0"/>
      <w:marTop w:val="0"/>
      <w:marBottom w:val="0"/>
      <w:divBdr>
        <w:top w:val="none" w:sz="0" w:space="0" w:color="auto"/>
        <w:left w:val="none" w:sz="0" w:space="0" w:color="auto"/>
        <w:bottom w:val="none" w:sz="0" w:space="0" w:color="auto"/>
        <w:right w:val="none" w:sz="0" w:space="0" w:color="auto"/>
      </w:divBdr>
    </w:div>
    <w:div w:id="1068259572">
      <w:bodyDiv w:val="1"/>
      <w:marLeft w:val="0"/>
      <w:marRight w:val="0"/>
      <w:marTop w:val="0"/>
      <w:marBottom w:val="0"/>
      <w:divBdr>
        <w:top w:val="none" w:sz="0" w:space="0" w:color="auto"/>
        <w:left w:val="none" w:sz="0" w:space="0" w:color="auto"/>
        <w:bottom w:val="none" w:sz="0" w:space="0" w:color="auto"/>
        <w:right w:val="none" w:sz="0" w:space="0" w:color="auto"/>
      </w:divBdr>
    </w:div>
    <w:div w:id="1076436727">
      <w:bodyDiv w:val="1"/>
      <w:marLeft w:val="0"/>
      <w:marRight w:val="0"/>
      <w:marTop w:val="0"/>
      <w:marBottom w:val="0"/>
      <w:divBdr>
        <w:top w:val="none" w:sz="0" w:space="0" w:color="auto"/>
        <w:left w:val="none" w:sz="0" w:space="0" w:color="auto"/>
        <w:bottom w:val="none" w:sz="0" w:space="0" w:color="auto"/>
        <w:right w:val="none" w:sz="0" w:space="0" w:color="auto"/>
      </w:divBdr>
    </w:div>
    <w:div w:id="1087313168">
      <w:bodyDiv w:val="1"/>
      <w:marLeft w:val="0"/>
      <w:marRight w:val="0"/>
      <w:marTop w:val="0"/>
      <w:marBottom w:val="0"/>
      <w:divBdr>
        <w:top w:val="none" w:sz="0" w:space="0" w:color="auto"/>
        <w:left w:val="none" w:sz="0" w:space="0" w:color="auto"/>
        <w:bottom w:val="none" w:sz="0" w:space="0" w:color="auto"/>
        <w:right w:val="none" w:sz="0" w:space="0" w:color="auto"/>
      </w:divBdr>
    </w:div>
    <w:div w:id="1138374550">
      <w:bodyDiv w:val="1"/>
      <w:marLeft w:val="0"/>
      <w:marRight w:val="0"/>
      <w:marTop w:val="0"/>
      <w:marBottom w:val="0"/>
      <w:divBdr>
        <w:top w:val="none" w:sz="0" w:space="0" w:color="auto"/>
        <w:left w:val="none" w:sz="0" w:space="0" w:color="auto"/>
        <w:bottom w:val="none" w:sz="0" w:space="0" w:color="auto"/>
        <w:right w:val="none" w:sz="0" w:space="0" w:color="auto"/>
      </w:divBdr>
    </w:div>
    <w:div w:id="1148546147">
      <w:bodyDiv w:val="1"/>
      <w:marLeft w:val="0"/>
      <w:marRight w:val="0"/>
      <w:marTop w:val="0"/>
      <w:marBottom w:val="0"/>
      <w:divBdr>
        <w:top w:val="none" w:sz="0" w:space="0" w:color="auto"/>
        <w:left w:val="none" w:sz="0" w:space="0" w:color="auto"/>
        <w:bottom w:val="none" w:sz="0" w:space="0" w:color="auto"/>
        <w:right w:val="none" w:sz="0" w:space="0" w:color="auto"/>
      </w:divBdr>
    </w:div>
    <w:div w:id="1155417789">
      <w:bodyDiv w:val="1"/>
      <w:marLeft w:val="0"/>
      <w:marRight w:val="0"/>
      <w:marTop w:val="0"/>
      <w:marBottom w:val="0"/>
      <w:divBdr>
        <w:top w:val="none" w:sz="0" w:space="0" w:color="auto"/>
        <w:left w:val="none" w:sz="0" w:space="0" w:color="auto"/>
        <w:bottom w:val="none" w:sz="0" w:space="0" w:color="auto"/>
        <w:right w:val="none" w:sz="0" w:space="0" w:color="auto"/>
      </w:divBdr>
    </w:div>
    <w:div w:id="1157573985">
      <w:bodyDiv w:val="1"/>
      <w:marLeft w:val="0"/>
      <w:marRight w:val="0"/>
      <w:marTop w:val="0"/>
      <w:marBottom w:val="0"/>
      <w:divBdr>
        <w:top w:val="none" w:sz="0" w:space="0" w:color="auto"/>
        <w:left w:val="none" w:sz="0" w:space="0" w:color="auto"/>
        <w:bottom w:val="none" w:sz="0" w:space="0" w:color="auto"/>
        <w:right w:val="none" w:sz="0" w:space="0" w:color="auto"/>
      </w:divBdr>
    </w:div>
    <w:div w:id="1178344749">
      <w:bodyDiv w:val="1"/>
      <w:marLeft w:val="0"/>
      <w:marRight w:val="0"/>
      <w:marTop w:val="0"/>
      <w:marBottom w:val="0"/>
      <w:divBdr>
        <w:top w:val="none" w:sz="0" w:space="0" w:color="auto"/>
        <w:left w:val="none" w:sz="0" w:space="0" w:color="auto"/>
        <w:bottom w:val="none" w:sz="0" w:space="0" w:color="auto"/>
        <w:right w:val="none" w:sz="0" w:space="0" w:color="auto"/>
      </w:divBdr>
    </w:div>
    <w:div w:id="1187250917">
      <w:bodyDiv w:val="1"/>
      <w:marLeft w:val="0"/>
      <w:marRight w:val="0"/>
      <w:marTop w:val="0"/>
      <w:marBottom w:val="0"/>
      <w:divBdr>
        <w:top w:val="none" w:sz="0" w:space="0" w:color="auto"/>
        <w:left w:val="none" w:sz="0" w:space="0" w:color="auto"/>
        <w:bottom w:val="none" w:sz="0" w:space="0" w:color="auto"/>
        <w:right w:val="none" w:sz="0" w:space="0" w:color="auto"/>
      </w:divBdr>
    </w:div>
    <w:div w:id="1192187673">
      <w:bodyDiv w:val="1"/>
      <w:marLeft w:val="0"/>
      <w:marRight w:val="0"/>
      <w:marTop w:val="0"/>
      <w:marBottom w:val="0"/>
      <w:divBdr>
        <w:top w:val="none" w:sz="0" w:space="0" w:color="auto"/>
        <w:left w:val="none" w:sz="0" w:space="0" w:color="auto"/>
        <w:bottom w:val="none" w:sz="0" w:space="0" w:color="auto"/>
        <w:right w:val="none" w:sz="0" w:space="0" w:color="auto"/>
      </w:divBdr>
    </w:div>
    <w:div w:id="1206914894">
      <w:bodyDiv w:val="1"/>
      <w:marLeft w:val="0"/>
      <w:marRight w:val="0"/>
      <w:marTop w:val="0"/>
      <w:marBottom w:val="0"/>
      <w:divBdr>
        <w:top w:val="none" w:sz="0" w:space="0" w:color="auto"/>
        <w:left w:val="none" w:sz="0" w:space="0" w:color="auto"/>
        <w:bottom w:val="none" w:sz="0" w:space="0" w:color="auto"/>
        <w:right w:val="none" w:sz="0" w:space="0" w:color="auto"/>
      </w:divBdr>
    </w:div>
    <w:div w:id="1207139066">
      <w:bodyDiv w:val="1"/>
      <w:marLeft w:val="0"/>
      <w:marRight w:val="0"/>
      <w:marTop w:val="0"/>
      <w:marBottom w:val="0"/>
      <w:divBdr>
        <w:top w:val="none" w:sz="0" w:space="0" w:color="auto"/>
        <w:left w:val="none" w:sz="0" w:space="0" w:color="auto"/>
        <w:bottom w:val="none" w:sz="0" w:space="0" w:color="auto"/>
        <w:right w:val="none" w:sz="0" w:space="0" w:color="auto"/>
      </w:divBdr>
    </w:div>
    <w:div w:id="1207452443">
      <w:bodyDiv w:val="1"/>
      <w:marLeft w:val="0"/>
      <w:marRight w:val="0"/>
      <w:marTop w:val="0"/>
      <w:marBottom w:val="0"/>
      <w:divBdr>
        <w:top w:val="none" w:sz="0" w:space="0" w:color="auto"/>
        <w:left w:val="none" w:sz="0" w:space="0" w:color="auto"/>
        <w:bottom w:val="none" w:sz="0" w:space="0" w:color="auto"/>
        <w:right w:val="none" w:sz="0" w:space="0" w:color="auto"/>
      </w:divBdr>
    </w:div>
    <w:div w:id="1218400958">
      <w:bodyDiv w:val="1"/>
      <w:marLeft w:val="0"/>
      <w:marRight w:val="0"/>
      <w:marTop w:val="0"/>
      <w:marBottom w:val="0"/>
      <w:divBdr>
        <w:top w:val="none" w:sz="0" w:space="0" w:color="auto"/>
        <w:left w:val="none" w:sz="0" w:space="0" w:color="auto"/>
        <w:bottom w:val="none" w:sz="0" w:space="0" w:color="auto"/>
        <w:right w:val="none" w:sz="0" w:space="0" w:color="auto"/>
      </w:divBdr>
    </w:div>
    <w:div w:id="1237471173">
      <w:bodyDiv w:val="1"/>
      <w:marLeft w:val="0"/>
      <w:marRight w:val="0"/>
      <w:marTop w:val="0"/>
      <w:marBottom w:val="0"/>
      <w:divBdr>
        <w:top w:val="none" w:sz="0" w:space="0" w:color="auto"/>
        <w:left w:val="none" w:sz="0" w:space="0" w:color="auto"/>
        <w:bottom w:val="none" w:sz="0" w:space="0" w:color="auto"/>
        <w:right w:val="none" w:sz="0" w:space="0" w:color="auto"/>
      </w:divBdr>
    </w:div>
    <w:div w:id="1244072674">
      <w:bodyDiv w:val="1"/>
      <w:marLeft w:val="0"/>
      <w:marRight w:val="0"/>
      <w:marTop w:val="0"/>
      <w:marBottom w:val="0"/>
      <w:divBdr>
        <w:top w:val="none" w:sz="0" w:space="0" w:color="auto"/>
        <w:left w:val="none" w:sz="0" w:space="0" w:color="auto"/>
        <w:bottom w:val="none" w:sz="0" w:space="0" w:color="auto"/>
        <w:right w:val="none" w:sz="0" w:space="0" w:color="auto"/>
      </w:divBdr>
    </w:div>
    <w:div w:id="1266815360">
      <w:bodyDiv w:val="1"/>
      <w:marLeft w:val="0"/>
      <w:marRight w:val="0"/>
      <w:marTop w:val="0"/>
      <w:marBottom w:val="0"/>
      <w:divBdr>
        <w:top w:val="none" w:sz="0" w:space="0" w:color="auto"/>
        <w:left w:val="none" w:sz="0" w:space="0" w:color="auto"/>
        <w:bottom w:val="none" w:sz="0" w:space="0" w:color="auto"/>
        <w:right w:val="none" w:sz="0" w:space="0" w:color="auto"/>
      </w:divBdr>
    </w:div>
    <w:div w:id="1269582885">
      <w:bodyDiv w:val="1"/>
      <w:marLeft w:val="0"/>
      <w:marRight w:val="0"/>
      <w:marTop w:val="0"/>
      <w:marBottom w:val="0"/>
      <w:divBdr>
        <w:top w:val="none" w:sz="0" w:space="0" w:color="auto"/>
        <w:left w:val="none" w:sz="0" w:space="0" w:color="auto"/>
        <w:bottom w:val="none" w:sz="0" w:space="0" w:color="auto"/>
        <w:right w:val="none" w:sz="0" w:space="0" w:color="auto"/>
      </w:divBdr>
    </w:div>
    <w:div w:id="1282498648">
      <w:bodyDiv w:val="1"/>
      <w:marLeft w:val="0"/>
      <w:marRight w:val="0"/>
      <w:marTop w:val="0"/>
      <w:marBottom w:val="0"/>
      <w:divBdr>
        <w:top w:val="none" w:sz="0" w:space="0" w:color="auto"/>
        <w:left w:val="none" w:sz="0" w:space="0" w:color="auto"/>
        <w:bottom w:val="none" w:sz="0" w:space="0" w:color="auto"/>
        <w:right w:val="none" w:sz="0" w:space="0" w:color="auto"/>
      </w:divBdr>
    </w:div>
    <w:div w:id="1293294601">
      <w:bodyDiv w:val="1"/>
      <w:marLeft w:val="0"/>
      <w:marRight w:val="0"/>
      <w:marTop w:val="0"/>
      <w:marBottom w:val="0"/>
      <w:divBdr>
        <w:top w:val="none" w:sz="0" w:space="0" w:color="auto"/>
        <w:left w:val="none" w:sz="0" w:space="0" w:color="auto"/>
        <w:bottom w:val="none" w:sz="0" w:space="0" w:color="auto"/>
        <w:right w:val="none" w:sz="0" w:space="0" w:color="auto"/>
      </w:divBdr>
    </w:div>
    <w:div w:id="1301034535">
      <w:bodyDiv w:val="1"/>
      <w:marLeft w:val="0"/>
      <w:marRight w:val="0"/>
      <w:marTop w:val="0"/>
      <w:marBottom w:val="0"/>
      <w:divBdr>
        <w:top w:val="none" w:sz="0" w:space="0" w:color="auto"/>
        <w:left w:val="none" w:sz="0" w:space="0" w:color="auto"/>
        <w:bottom w:val="none" w:sz="0" w:space="0" w:color="auto"/>
        <w:right w:val="none" w:sz="0" w:space="0" w:color="auto"/>
      </w:divBdr>
    </w:div>
    <w:div w:id="1332299408">
      <w:bodyDiv w:val="1"/>
      <w:marLeft w:val="0"/>
      <w:marRight w:val="0"/>
      <w:marTop w:val="0"/>
      <w:marBottom w:val="0"/>
      <w:divBdr>
        <w:top w:val="none" w:sz="0" w:space="0" w:color="auto"/>
        <w:left w:val="none" w:sz="0" w:space="0" w:color="auto"/>
        <w:bottom w:val="none" w:sz="0" w:space="0" w:color="auto"/>
        <w:right w:val="none" w:sz="0" w:space="0" w:color="auto"/>
      </w:divBdr>
    </w:div>
    <w:div w:id="1364401787">
      <w:bodyDiv w:val="1"/>
      <w:marLeft w:val="0"/>
      <w:marRight w:val="0"/>
      <w:marTop w:val="0"/>
      <w:marBottom w:val="0"/>
      <w:divBdr>
        <w:top w:val="none" w:sz="0" w:space="0" w:color="auto"/>
        <w:left w:val="none" w:sz="0" w:space="0" w:color="auto"/>
        <w:bottom w:val="none" w:sz="0" w:space="0" w:color="auto"/>
        <w:right w:val="none" w:sz="0" w:space="0" w:color="auto"/>
      </w:divBdr>
    </w:div>
    <w:div w:id="1370646866">
      <w:bodyDiv w:val="1"/>
      <w:marLeft w:val="0"/>
      <w:marRight w:val="0"/>
      <w:marTop w:val="0"/>
      <w:marBottom w:val="0"/>
      <w:divBdr>
        <w:top w:val="none" w:sz="0" w:space="0" w:color="auto"/>
        <w:left w:val="none" w:sz="0" w:space="0" w:color="auto"/>
        <w:bottom w:val="none" w:sz="0" w:space="0" w:color="auto"/>
        <w:right w:val="none" w:sz="0" w:space="0" w:color="auto"/>
      </w:divBdr>
    </w:div>
    <w:div w:id="1378165343">
      <w:bodyDiv w:val="1"/>
      <w:marLeft w:val="0"/>
      <w:marRight w:val="0"/>
      <w:marTop w:val="0"/>
      <w:marBottom w:val="0"/>
      <w:divBdr>
        <w:top w:val="none" w:sz="0" w:space="0" w:color="auto"/>
        <w:left w:val="none" w:sz="0" w:space="0" w:color="auto"/>
        <w:bottom w:val="none" w:sz="0" w:space="0" w:color="auto"/>
        <w:right w:val="none" w:sz="0" w:space="0" w:color="auto"/>
      </w:divBdr>
    </w:div>
    <w:div w:id="1385249618">
      <w:bodyDiv w:val="1"/>
      <w:marLeft w:val="0"/>
      <w:marRight w:val="0"/>
      <w:marTop w:val="0"/>
      <w:marBottom w:val="0"/>
      <w:divBdr>
        <w:top w:val="none" w:sz="0" w:space="0" w:color="auto"/>
        <w:left w:val="none" w:sz="0" w:space="0" w:color="auto"/>
        <w:bottom w:val="none" w:sz="0" w:space="0" w:color="auto"/>
        <w:right w:val="none" w:sz="0" w:space="0" w:color="auto"/>
      </w:divBdr>
    </w:div>
    <w:div w:id="1386444615">
      <w:bodyDiv w:val="1"/>
      <w:marLeft w:val="0"/>
      <w:marRight w:val="0"/>
      <w:marTop w:val="0"/>
      <w:marBottom w:val="0"/>
      <w:divBdr>
        <w:top w:val="none" w:sz="0" w:space="0" w:color="auto"/>
        <w:left w:val="none" w:sz="0" w:space="0" w:color="auto"/>
        <w:bottom w:val="none" w:sz="0" w:space="0" w:color="auto"/>
        <w:right w:val="none" w:sz="0" w:space="0" w:color="auto"/>
      </w:divBdr>
    </w:div>
    <w:div w:id="1408919432">
      <w:bodyDiv w:val="1"/>
      <w:marLeft w:val="0"/>
      <w:marRight w:val="0"/>
      <w:marTop w:val="0"/>
      <w:marBottom w:val="0"/>
      <w:divBdr>
        <w:top w:val="none" w:sz="0" w:space="0" w:color="auto"/>
        <w:left w:val="none" w:sz="0" w:space="0" w:color="auto"/>
        <w:bottom w:val="none" w:sz="0" w:space="0" w:color="auto"/>
        <w:right w:val="none" w:sz="0" w:space="0" w:color="auto"/>
      </w:divBdr>
    </w:div>
    <w:div w:id="1413964600">
      <w:bodyDiv w:val="1"/>
      <w:marLeft w:val="0"/>
      <w:marRight w:val="0"/>
      <w:marTop w:val="0"/>
      <w:marBottom w:val="0"/>
      <w:divBdr>
        <w:top w:val="none" w:sz="0" w:space="0" w:color="auto"/>
        <w:left w:val="none" w:sz="0" w:space="0" w:color="auto"/>
        <w:bottom w:val="none" w:sz="0" w:space="0" w:color="auto"/>
        <w:right w:val="none" w:sz="0" w:space="0" w:color="auto"/>
      </w:divBdr>
    </w:div>
    <w:div w:id="1420323834">
      <w:bodyDiv w:val="1"/>
      <w:marLeft w:val="0"/>
      <w:marRight w:val="0"/>
      <w:marTop w:val="0"/>
      <w:marBottom w:val="0"/>
      <w:divBdr>
        <w:top w:val="none" w:sz="0" w:space="0" w:color="auto"/>
        <w:left w:val="none" w:sz="0" w:space="0" w:color="auto"/>
        <w:bottom w:val="none" w:sz="0" w:space="0" w:color="auto"/>
        <w:right w:val="none" w:sz="0" w:space="0" w:color="auto"/>
      </w:divBdr>
    </w:div>
    <w:div w:id="1428161628">
      <w:bodyDiv w:val="1"/>
      <w:marLeft w:val="0"/>
      <w:marRight w:val="0"/>
      <w:marTop w:val="0"/>
      <w:marBottom w:val="0"/>
      <w:divBdr>
        <w:top w:val="none" w:sz="0" w:space="0" w:color="auto"/>
        <w:left w:val="none" w:sz="0" w:space="0" w:color="auto"/>
        <w:bottom w:val="none" w:sz="0" w:space="0" w:color="auto"/>
        <w:right w:val="none" w:sz="0" w:space="0" w:color="auto"/>
      </w:divBdr>
    </w:div>
    <w:div w:id="1440177806">
      <w:bodyDiv w:val="1"/>
      <w:marLeft w:val="0"/>
      <w:marRight w:val="0"/>
      <w:marTop w:val="0"/>
      <w:marBottom w:val="0"/>
      <w:divBdr>
        <w:top w:val="none" w:sz="0" w:space="0" w:color="auto"/>
        <w:left w:val="none" w:sz="0" w:space="0" w:color="auto"/>
        <w:bottom w:val="none" w:sz="0" w:space="0" w:color="auto"/>
        <w:right w:val="none" w:sz="0" w:space="0" w:color="auto"/>
      </w:divBdr>
      <w:divsChild>
        <w:div w:id="289626090">
          <w:marLeft w:val="0"/>
          <w:marRight w:val="0"/>
          <w:marTop w:val="0"/>
          <w:marBottom w:val="0"/>
          <w:divBdr>
            <w:top w:val="none" w:sz="0" w:space="0" w:color="auto"/>
            <w:left w:val="none" w:sz="0" w:space="0" w:color="auto"/>
            <w:bottom w:val="none" w:sz="0" w:space="0" w:color="auto"/>
            <w:right w:val="none" w:sz="0" w:space="0" w:color="auto"/>
          </w:divBdr>
          <w:divsChild>
            <w:div w:id="1937900054">
              <w:marLeft w:val="0"/>
              <w:marRight w:val="0"/>
              <w:marTop w:val="112"/>
              <w:marBottom w:val="0"/>
              <w:divBdr>
                <w:top w:val="single" w:sz="8" w:space="6" w:color="666666"/>
                <w:left w:val="none" w:sz="0" w:space="0" w:color="auto"/>
                <w:bottom w:val="none" w:sz="0" w:space="0" w:color="auto"/>
                <w:right w:val="none" w:sz="0" w:space="0" w:color="auto"/>
              </w:divBdr>
            </w:div>
          </w:divsChild>
        </w:div>
      </w:divsChild>
    </w:div>
    <w:div w:id="1440301165">
      <w:bodyDiv w:val="1"/>
      <w:marLeft w:val="0"/>
      <w:marRight w:val="0"/>
      <w:marTop w:val="0"/>
      <w:marBottom w:val="0"/>
      <w:divBdr>
        <w:top w:val="none" w:sz="0" w:space="0" w:color="auto"/>
        <w:left w:val="none" w:sz="0" w:space="0" w:color="auto"/>
        <w:bottom w:val="none" w:sz="0" w:space="0" w:color="auto"/>
        <w:right w:val="none" w:sz="0" w:space="0" w:color="auto"/>
      </w:divBdr>
    </w:div>
    <w:div w:id="1452944075">
      <w:bodyDiv w:val="1"/>
      <w:marLeft w:val="0"/>
      <w:marRight w:val="0"/>
      <w:marTop w:val="0"/>
      <w:marBottom w:val="0"/>
      <w:divBdr>
        <w:top w:val="none" w:sz="0" w:space="0" w:color="auto"/>
        <w:left w:val="none" w:sz="0" w:space="0" w:color="auto"/>
        <w:bottom w:val="none" w:sz="0" w:space="0" w:color="auto"/>
        <w:right w:val="none" w:sz="0" w:space="0" w:color="auto"/>
      </w:divBdr>
    </w:div>
    <w:div w:id="1461610948">
      <w:bodyDiv w:val="1"/>
      <w:marLeft w:val="0"/>
      <w:marRight w:val="0"/>
      <w:marTop w:val="0"/>
      <w:marBottom w:val="0"/>
      <w:divBdr>
        <w:top w:val="none" w:sz="0" w:space="0" w:color="auto"/>
        <w:left w:val="none" w:sz="0" w:space="0" w:color="auto"/>
        <w:bottom w:val="none" w:sz="0" w:space="0" w:color="auto"/>
        <w:right w:val="none" w:sz="0" w:space="0" w:color="auto"/>
      </w:divBdr>
    </w:div>
    <w:div w:id="1475483456">
      <w:bodyDiv w:val="1"/>
      <w:marLeft w:val="0"/>
      <w:marRight w:val="0"/>
      <w:marTop w:val="0"/>
      <w:marBottom w:val="0"/>
      <w:divBdr>
        <w:top w:val="none" w:sz="0" w:space="0" w:color="auto"/>
        <w:left w:val="none" w:sz="0" w:space="0" w:color="auto"/>
        <w:bottom w:val="none" w:sz="0" w:space="0" w:color="auto"/>
        <w:right w:val="none" w:sz="0" w:space="0" w:color="auto"/>
      </w:divBdr>
    </w:div>
    <w:div w:id="1506556392">
      <w:bodyDiv w:val="1"/>
      <w:marLeft w:val="0"/>
      <w:marRight w:val="0"/>
      <w:marTop w:val="0"/>
      <w:marBottom w:val="0"/>
      <w:divBdr>
        <w:top w:val="none" w:sz="0" w:space="0" w:color="auto"/>
        <w:left w:val="none" w:sz="0" w:space="0" w:color="auto"/>
        <w:bottom w:val="none" w:sz="0" w:space="0" w:color="auto"/>
        <w:right w:val="none" w:sz="0" w:space="0" w:color="auto"/>
      </w:divBdr>
    </w:div>
    <w:div w:id="1537960058">
      <w:bodyDiv w:val="1"/>
      <w:marLeft w:val="0"/>
      <w:marRight w:val="0"/>
      <w:marTop w:val="0"/>
      <w:marBottom w:val="0"/>
      <w:divBdr>
        <w:top w:val="none" w:sz="0" w:space="0" w:color="auto"/>
        <w:left w:val="none" w:sz="0" w:space="0" w:color="auto"/>
        <w:bottom w:val="none" w:sz="0" w:space="0" w:color="auto"/>
        <w:right w:val="none" w:sz="0" w:space="0" w:color="auto"/>
      </w:divBdr>
    </w:div>
    <w:div w:id="1542745478">
      <w:bodyDiv w:val="1"/>
      <w:marLeft w:val="0"/>
      <w:marRight w:val="0"/>
      <w:marTop w:val="0"/>
      <w:marBottom w:val="0"/>
      <w:divBdr>
        <w:top w:val="none" w:sz="0" w:space="0" w:color="auto"/>
        <w:left w:val="none" w:sz="0" w:space="0" w:color="auto"/>
        <w:bottom w:val="none" w:sz="0" w:space="0" w:color="auto"/>
        <w:right w:val="none" w:sz="0" w:space="0" w:color="auto"/>
      </w:divBdr>
    </w:div>
    <w:div w:id="1562406479">
      <w:bodyDiv w:val="1"/>
      <w:marLeft w:val="0"/>
      <w:marRight w:val="0"/>
      <w:marTop w:val="0"/>
      <w:marBottom w:val="0"/>
      <w:divBdr>
        <w:top w:val="none" w:sz="0" w:space="0" w:color="auto"/>
        <w:left w:val="none" w:sz="0" w:space="0" w:color="auto"/>
        <w:bottom w:val="none" w:sz="0" w:space="0" w:color="auto"/>
        <w:right w:val="none" w:sz="0" w:space="0" w:color="auto"/>
      </w:divBdr>
    </w:div>
    <w:div w:id="1570455332">
      <w:bodyDiv w:val="1"/>
      <w:marLeft w:val="0"/>
      <w:marRight w:val="0"/>
      <w:marTop w:val="0"/>
      <w:marBottom w:val="0"/>
      <w:divBdr>
        <w:top w:val="none" w:sz="0" w:space="0" w:color="auto"/>
        <w:left w:val="none" w:sz="0" w:space="0" w:color="auto"/>
        <w:bottom w:val="none" w:sz="0" w:space="0" w:color="auto"/>
        <w:right w:val="none" w:sz="0" w:space="0" w:color="auto"/>
      </w:divBdr>
    </w:div>
    <w:div w:id="1578244216">
      <w:bodyDiv w:val="1"/>
      <w:marLeft w:val="0"/>
      <w:marRight w:val="0"/>
      <w:marTop w:val="0"/>
      <w:marBottom w:val="0"/>
      <w:divBdr>
        <w:top w:val="none" w:sz="0" w:space="0" w:color="auto"/>
        <w:left w:val="none" w:sz="0" w:space="0" w:color="auto"/>
        <w:bottom w:val="none" w:sz="0" w:space="0" w:color="auto"/>
        <w:right w:val="none" w:sz="0" w:space="0" w:color="auto"/>
      </w:divBdr>
    </w:div>
    <w:div w:id="1586067204">
      <w:bodyDiv w:val="1"/>
      <w:marLeft w:val="0"/>
      <w:marRight w:val="0"/>
      <w:marTop w:val="0"/>
      <w:marBottom w:val="0"/>
      <w:divBdr>
        <w:top w:val="none" w:sz="0" w:space="0" w:color="auto"/>
        <w:left w:val="none" w:sz="0" w:space="0" w:color="auto"/>
        <w:bottom w:val="none" w:sz="0" w:space="0" w:color="auto"/>
        <w:right w:val="none" w:sz="0" w:space="0" w:color="auto"/>
      </w:divBdr>
    </w:div>
    <w:div w:id="1586765677">
      <w:bodyDiv w:val="1"/>
      <w:marLeft w:val="0"/>
      <w:marRight w:val="0"/>
      <w:marTop w:val="0"/>
      <w:marBottom w:val="0"/>
      <w:divBdr>
        <w:top w:val="none" w:sz="0" w:space="0" w:color="auto"/>
        <w:left w:val="none" w:sz="0" w:space="0" w:color="auto"/>
        <w:bottom w:val="none" w:sz="0" w:space="0" w:color="auto"/>
        <w:right w:val="none" w:sz="0" w:space="0" w:color="auto"/>
      </w:divBdr>
    </w:div>
    <w:div w:id="1601570982">
      <w:bodyDiv w:val="1"/>
      <w:marLeft w:val="0"/>
      <w:marRight w:val="0"/>
      <w:marTop w:val="0"/>
      <w:marBottom w:val="0"/>
      <w:divBdr>
        <w:top w:val="none" w:sz="0" w:space="0" w:color="auto"/>
        <w:left w:val="none" w:sz="0" w:space="0" w:color="auto"/>
        <w:bottom w:val="none" w:sz="0" w:space="0" w:color="auto"/>
        <w:right w:val="none" w:sz="0" w:space="0" w:color="auto"/>
      </w:divBdr>
    </w:div>
    <w:div w:id="1607886609">
      <w:bodyDiv w:val="1"/>
      <w:marLeft w:val="0"/>
      <w:marRight w:val="0"/>
      <w:marTop w:val="0"/>
      <w:marBottom w:val="0"/>
      <w:divBdr>
        <w:top w:val="none" w:sz="0" w:space="0" w:color="auto"/>
        <w:left w:val="none" w:sz="0" w:space="0" w:color="auto"/>
        <w:bottom w:val="none" w:sz="0" w:space="0" w:color="auto"/>
        <w:right w:val="none" w:sz="0" w:space="0" w:color="auto"/>
      </w:divBdr>
    </w:div>
    <w:div w:id="1616862818">
      <w:bodyDiv w:val="1"/>
      <w:marLeft w:val="0"/>
      <w:marRight w:val="0"/>
      <w:marTop w:val="0"/>
      <w:marBottom w:val="0"/>
      <w:divBdr>
        <w:top w:val="none" w:sz="0" w:space="0" w:color="auto"/>
        <w:left w:val="none" w:sz="0" w:space="0" w:color="auto"/>
        <w:bottom w:val="none" w:sz="0" w:space="0" w:color="auto"/>
        <w:right w:val="none" w:sz="0" w:space="0" w:color="auto"/>
      </w:divBdr>
    </w:div>
    <w:div w:id="1626767192">
      <w:bodyDiv w:val="1"/>
      <w:marLeft w:val="0"/>
      <w:marRight w:val="0"/>
      <w:marTop w:val="0"/>
      <w:marBottom w:val="0"/>
      <w:divBdr>
        <w:top w:val="none" w:sz="0" w:space="0" w:color="auto"/>
        <w:left w:val="none" w:sz="0" w:space="0" w:color="auto"/>
        <w:bottom w:val="none" w:sz="0" w:space="0" w:color="auto"/>
        <w:right w:val="none" w:sz="0" w:space="0" w:color="auto"/>
      </w:divBdr>
    </w:div>
    <w:div w:id="1634288833">
      <w:bodyDiv w:val="1"/>
      <w:marLeft w:val="0"/>
      <w:marRight w:val="0"/>
      <w:marTop w:val="0"/>
      <w:marBottom w:val="0"/>
      <w:divBdr>
        <w:top w:val="none" w:sz="0" w:space="0" w:color="auto"/>
        <w:left w:val="none" w:sz="0" w:space="0" w:color="auto"/>
        <w:bottom w:val="none" w:sz="0" w:space="0" w:color="auto"/>
        <w:right w:val="none" w:sz="0" w:space="0" w:color="auto"/>
      </w:divBdr>
    </w:div>
    <w:div w:id="1646201555">
      <w:bodyDiv w:val="1"/>
      <w:marLeft w:val="0"/>
      <w:marRight w:val="0"/>
      <w:marTop w:val="0"/>
      <w:marBottom w:val="0"/>
      <w:divBdr>
        <w:top w:val="none" w:sz="0" w:space="0" w:color="auto"/>
        <w:left w:val="none" w:sz="0" w:space="0" w:color="auto"/>
        <w:bottom w:val="none" w:sz="0" w:space="0" w:color="auto"/>
        <w:right w:val="none" w:sz="0" w:space="0" w:color="auto"/>
      </w:divBdr>
    </w:div>
    <w:div w:id="1646741667">
      <w:bodyDiv w:val="1"/>
      <w:marLeft w:val="0"/>
      <w:marRight w:val="0"/>
      <w:marTop w:val="0"/>
      <w:marBottom w:val="0"/>
      <w:divBdr>
        <w:top w:val="none" w:sz="0" w:space="0" w:color="auto"/>
        <w:left w:val="none" w:sz="0" w:space="0" w:color="auto"/>
        <w:bottom w:val="none" w:sz="0" w:space="0" w:color="auto"/>
        <w:right w:val="none" w:sz="0" w:space="0" w:color="auto"/>
      </w:divBdr>
    </w:div>
    <w:div w:id="1657874802">
      <w:bodyDiv w:val="1"/>
      <w:marLeft w:val="0"/>
      <w:marRight w:val="0"/>
      <w:marTop w:val="0"/>
      <w:marBottom w:val="0"/>
      <w:divBdr>
        <w:top w:val="none" w:sz="0" w:space="0" w:color="auto"/>
        <w:left w:val="none" w:sz="0" w:space="0" w:color="auto"/>
        <w:bottom w:val="none" w:sz="0" w:space="0" w:color="auto"/>
        <w:right w:val="none" w:sz="0" w:space="0" w:color="auto"/>
      </w:divBdr>
    </w:div>
    <w:div w:id="1674606202">
      <w:bodyDiv w:val="1"/>
      <w:marLeft w:val="0"/>
      <w:marRight w:val="0"/>
      <w:marTop w:val="0"/>
      <w:marBottom w:val="0"/>
      <w:divBdr>
        <w:top w:val="none" w:sz="0" w:space="0" w:color="auto"/>
        <w:left w:val="none" w:sz="0" w:space="0" w:color="auto"/>
        <w:bottom w:val="none" w:sz="0" w:space="0" w:color="auto"/>
        <w:right w:val="none" w:sz="0" w:space="0" w:color="auto"/>
      </w:divBdr>
    </w:div>
    <w:div w:id="1705323117">
      <w:bodyDiv w:val="1"/>
      <w:marLeft w:val="0"/>
      <w:marRight w:val="0"/>
      <w:marTop w:val="0"/>
      <w:marBottom w:val="0"/>
      <w:divBdr>
        <w:top w:val="none" w:sz="0" w:space="0" w:color="auto"/>
        <w:left w:val="none" w:sz="0" w:space="0" w:color="auto"/>
        <w:bottom w:val="none" w:sz="0" w:space="0" w:color="auto"/>
        <w:right w:val="none" w:sz="0" w:space="0" w:color="auto"/>
      </w:divBdr>
    </w:div>
    <w:div w:id="1724869334">
      <w:bodyDiv w:val="1"/>
      <w:marLeft w:val="0"/>
      <w:marRight w:val="0"/>
      <w:marTop w:val="0"/>
      <w:marBottom w:val="0"/>
      <w:divBdr>
        <w:top w:val="none" w:sz="0" w:space="0" w:color="auto"/>
        <w:left w:val="none" w:sz="0" w:space="0" w:color="auto"/>
        <w:bottom w:val="none" w:sz="0" w:space="0" w:color="auto"/>
        <w:right w:val="none" w:sz="0" w:space="0" w:color="auto"/>
      </w:divBdr>
    </w:div>
    <w:div w:id="1777603887">
      <w:bodyDiv w:val="1"/>
      <w:marLeft w:val="0"/>
      <w:marRight w:val="0"/>
      <w:marTop w:val="0"/>
      <w:marBottom w:val="0"/>
      <w:divBdr>
        <w:top w:val="none" w:sz="0" w:space="0" w:color="auto"/>
        <w:left w:val="none" w:sz="0" w:space="0" w:color="auto"/>
        <w:bottom w:val="none" w:sz="0" w:space="0" w:color="auto"/>
        <w:right w:val="none" w:sz="0" w:space="0" w:color="auto"/>
      </w:divBdr>
    </w:div>
    <w:div w:id="1801268910">
      <w:bodyDiv w:val="1"/>
      <w:marLeft w:val="0"/>
      <w:marRight w:val="0"/>
      <w:marTop w:val="0"/>
      <w:marBottom w:val="0"/>
      <w:divBdr>
        <w:top w:val="none" w:sz="0" w:space="0" w:color="auto"/>
        <w:left w:val="none" w:sz="0" w:space="0" w:color="auto"/>
        <w:bottom w:val="none" w:sz="0" w:space="0" w:color="auto"/>
        <w:right w:val="none" w:sz="0" w:space="0" w:color="auto"/>
      </w:divBdr>
    </w:div>
    <w:div w:id="1818961276">
      <w:bodyDiv w:val="1"/>
      <w:marLeft w:val="0"/>
      <w:marRight w:val="0"/>
      <w:marTop w:val="0"/>
      <w:marBottom w:val="0"/>
      <w:divBdr>
        <w:top w:val="none" w:sz="0" w:space="0" w:color="auto"/>
        <w:left w:val="none" w:sz="0" w:space="0" w:color="auto"/>
        <w:bottom w:val="none" w:sz="0" w:space="0" w:color="auto"/>
        <w:right w:val="none" w:sz="0" w:space="0" w:color="auto"/>
      </w:divBdr>
    </w:div>
    <w:div w:id="1822457054">
      <w:bodyDiv w:val="1"/>
      <w:marLeft w:val="0"/>
      <w:marRight w:val="0"/>
      <w:marTop w:val="0"/>
      <w:marBottom w:val="0"/>
      <w:divBdr>
        <w:top w:val="none" w:sz="0" w:space="0" w:color="auto"/>
        <w:left w:val="none" w:sz="0" w:space="0" w:color="auto"/>
        <w:bottom w:val="none" w:sz="0" w:space="0" w:color="auto"/>
        <w:right w:val="none" w:sz="0" w:space="0" w:color="auto"/>
      </w:divBdr>
    </w:div>
    <w:div w:id="1881816399">
      <w:bodyDiv w:val="1"/>
      <w:marLeft w:val="0"/>
      <w:marRight w:val="0"/>
      <w:marTop w:val="0"/>
      <w:marBottom w:val="0"/>
      <w:divBdr>
        <w:top w:val="none" w:sz="0" w:space="0" w:color="auto"/>
        <w:left w:val="none" w:sz="0" w:space="0" w:color="auto"/>
        <w:bottom w:val="none" w:sz="0" w:space="0" w:color="auto"/>
        <w:right w:val="none" w:sz="0" w:space="0" w:color="auto"/>
      </w:divBdr>
    </w:div>
    <w:div w:id="1909538534">
      <w:bodyDiv w:val="1"/>
      <w:marLeft w:val="0"/>
      <w:marRight w:val="0"/>
      <w:marTop w:val="0"/>
      <w:marBottom w:val="0"/>
      <w:divBdr>
        <w:top w:val="none" w:sz="0" w:space="0" w:color="auto"/>
        <w:left w:val="none" w:sz="0" w:space="0" w:color="auto"/>
        <w:bottom w:val="none" w:sz="0" w:space="0" w:color="auto"/>
        <w:right w:val="none" w:sz="0" w:space="0" w:color="auto"/>
      </w:divBdr>
    </w:div>
    <w:div w:id="1913657370">
      <w:bodyDiv w:val="1"/>
      <w:marLeft w:val="0"/>
      <w:marRight w:val="0"/>
      <w:marTop w:val="0"/>
      <w:marBottom w:val="0"/>
      <w:divBdr>
        <w:top w:val="none" w:sz="0" w:space="0" w:color="auto"/>
        <w:left w:val="none" w:sz="0" w:space="0" w:color="auto"/>
        <w:bottom w:val="none" w:sz="0" w:space="0" w:color="auto"/>
        <w:right w:val="none" w:sz="0" w:space="0" w:color="auto"/>
      </w:divBdr>
    </w:div>
    <w:div w:id="1916816296">
      <w:bodyDiv w:val="1"/>
      <w:marLeft w:val="0"/>
      <w:marRight w:val="0"/>
      <w:marTop w:val="0"/>
      <w:marBottom w:val="0"/>
      <w:divBdr>
        <w:top w:val="none" w:sz="0" w:space="0" w:color="auto"/>
        <w:left w:val="none" w:sz="0" w:space="0" w:color="auto"/>
        <w:bottom w:val="none" w:sz="0" w:space="0" w:color="auto"/>
        <w:right w:val="none" w:sz="0" w:space="0" w:color="auto"/>
      </w:divBdr>
    </w:div>
    <w:div w:id="1917473353">
      <w:bodyDiv w:val="1"/>
      <w:marLeft w:val="0"/>
      <w:marRight w:val="0"/>
      <w:marTop w:val="0"/>
      <w:marBottom w:val="0"/>
      <w:divBdr>
        <w:top w:val="none" w:sz="0" w:space="0" w:color="auto"/>
        <w:left w:val="none" w:sz="0" w:space="0" w:color="auto"/>
        <w:bottom w:val="none" w:sz="0" w:space="0" w:color="auto"/>
        <w:right w:val="none" w:sz="0" w:space="0" w:color="auto"/>
      </w:divBdr>
    </w:div>
    <w:div w:id="1921137189">
      <w:bodyDiv w:val="1"/>
      <w:marLeft w:val="0"/>
      <w:marRight w:val="0"/>
      <w:marTop w:val="0"/>
      <w:marBottom w:val="0"/>
      <w:divBdr>
        <w:top w:val="none" w:sz="0" w:space="0" w:color="auto"/>
        <w:left w:val="none" w:sz="0" w:space="0" w:color="auto"/>
        <w:bottom w:val="none" w:sz="0" w:space="0" w:color="auto"/>
        <w:right w:val="none" w:sz="0" w:space="0" w:color="auto"/>
      </w:divBdr>
    </w:div>
    <w:div w:id="1946380275">
      <w:bodyDiv w:val="1"/>
      <w:marLeft w:val="0"/>
      <w:marRight w:val="0"/>
      <w:marTop w:val="0"/>
      <w:marBottom w:val="0"/>
      <w:divBdr>
        <w:top w:val="none" w:sz="0" w:space="0" w:color="auto"/>
        <w:left w:val="none" w:sz="0" w:space="0" w:color="auto"/>
        <w:bottom w:val="none" w:sz="0" w:space="0" w:color="auto"/>
        <w:right w:val="none" w:sz="0" w:space="0" w:color="auto"/>
      </w:divBdr>
    </w:div>
    <w:div w:id="1958099830">
      <w:bodyDiv w:val="1"/>
      <w:marLeft w:val="0"/>
      <w:marRight w:val="0"/>
      <w:marTop w:val="0"/>
      <w:marBottom w:val="0"/>
      <w:divBdr>
        <w:top w:val="none" w:sz="0" w:space="0" w:color="auto"/>
        <w:left w:val="none" w:sz="0" w:space="0" w:color="auto"/>
        <w:bottom w:val="none" w:sz="0" w:space="0" w:color="auto"/>
        <w:right w:val="none" w:sz="0" w:space="0" w:color="auto"/>
      </w:divBdr>
    </w:div>
    <w:div w:id="1973824890">
      <w:bodyDiv w:val="1"/>
      <w:marLeft w:val="0"/>
      <w:marRight w:val="0"/>
      <w:marTop w:val="0"/>
      <w:marBottom w:val="0"/>
      <w:divBdr>
        <w:top w:val="none" w:sz="0" w:space="0" w:color="auto"/>
        <w:left w:val="none" w:sz="0" w:space="0" w:color="auto"/>
        <w:bottom w:val="none" w:sz="0" w:space="0" w:color="auto"/>
        <w:right w:val="none" w:sz="0" w:space="0" w:color="auto"/>
      </w:divBdr>
    </w:div>
    <w:div w:id="1995721089">
      <w:bodyDiv w:val="1"/>
      <w:marLeft w:val="0"/>
      <w:marRight w:val="0"/>
      <w:marTop w:val="0"/>
      <w:marBottom w:val="0"/>
      <w:divBdr>
        <w:top w:val="none" w:sz="0" w:space="0" w:color="auto"/>
        <w:left w:val="none" w:sz="0" w:space="0" w:color="auto"/>
        <w:bottom w:val="none" w:sz="0" w:space="0" w:color="auto"/>
        <w:right w:val="none" w:sz="0" w:space="0" w:color="auto"/>
      </w:divBdr>
    </w:div>
    <w:div w:id="1997880770">
      <w:bodyDiv w:val="1"/>
      <w:marLeft w:val="0"/>
      <w:marRight w:val="0"/>
      <w:marTop w:val="0"/>
      <w:marBottom w:val="0"/>
      <w:divBdr>
        <w:top w:val="none" w:sz="0" w:space="0" w:color="auto"/>
        <w:left w:val="none" w:sz="0" w:space="0" w:color="auto"/>
        <w:bottom w:val="none" w:sz="0" w:space="0" w:color="auto"/>
        <w:right w:val="none" w:sz="0" w:space="0" w:color="auto"/>
      </w:divBdr>
    </w:div>
    <w:div w:id="1999383096">
      <w:bodyDiv w:val="1"/>
      <w:marLeft w:val="0"/>
      <w:marRight w:val="0"/>
      <w:marTop w:val="0"/>
      <w:marBottom w:val="0"/>
      <w:divBdr>
        <w:top w:val="none" w:sz="0" w:space="0" w:color="auto"/>
        <w:left w:val="none" w:sz="0" w:space="0" w:color="auto"/>
        <w:bottom w:val="none" w:sz="0" w:space="0" w:color="auto"/>
        <w:right w:val="none" w:sz="0" w:space="0" w:color="auto"/>
      </w:divBdr>
    </w:div>
    <w:div w:id="2008437548">
      <w:bodyDiv w:val="1"/>
      <w:marLeft w:val="0"/>
      <w:marRight w:val="0"/>
      <w:marTop w:val="0"/>
      <w:marBottom w:val="0"/>
      <w:divBdr>
        <w:top w:val="none" w:sz="0" w:space="0" w:color="auto"/>
        <w:left w:val="none" w:sz="0" w:space="0" w:color="auto"/>
        <w:bottom w:val="none" w:sz="0" w:space="0" w:color="auto"/>
        <w:right w:val="none" w:sz="0" w:space="0" w:color="auto"/>
      </w:divBdr>
    </w:div>
    <w:div w:id="2024504275">
      <w:bodyDiv w:val="1"/>
      <w:marLeft w:val="0"/>
      <w:marRight w:val="0"/>
      <w:marTop w:val="0"/>
      <w:marBottom w:val="0"/>
      <w:divBdr>
        <w:top w:val="none" w:sz="0" w:space="0" w:color="auto"/>
        <w:left w:val="none" w:sz="0" w:space="0" w:color="auto"/>
        <w:bottom w:val="none" w:sz="0" w:space="0" w:color="auto"/>
        <w:right w:val="none" w:sz="0" w:space="0" w:color="auto"/>
      </w:divBdr>
    </w:div>
    <w:div w:id="2024816271">
      <w:bodyDiv w:val="1"/>
      <w:marLeft w:val="0"/>
      <w:marRight w:val="0"/>
      <w:marTop w:val="0"/>
      <w:marBottom w:val="0"/>
      <w:divBdr>
        <w:top w:val="none" w:sz="0" w:space="0" w:color="auto"/>
        <w:left w:val="none" w:sz="0" w:space="0" w:color="auto"/>
        <w:bottom w:val="none" w:sz="0" w:space="0" w:color="auto"/>
        <w:right w:val="none" w:sz="0" w:space="0" w:color="auto"/>
      </w:divBdr>
    </w:div>
    <w:div w:id="2030375850">
      <w:bodyDiv w:val="1"/>
      <w:marLeft w:val="0"/>
      <w:marRight w:val="0"/>
      <w:marTop w:val="0"/>
      <w:marBottom w:val="0"/>
      <w:divBdr>
        <w:top w:val="none" w:sz="0" w:space="0" w:color="auto"/>
        <w:left w:val="none" w:sz="0" w:space="0" w:color="auto"/>
        <w:bottom w:val="none" w:sz="0" w:space="0" w:color="auto"/>
        <w:right w:val="none" w:sz="0" w:space="0" w:color="auto"/>
      </w:divBdr>
    </w:div>
    <w:div w:id="2041280417">
      <w:bodyDiv w:val="1"/>
      <w:marLeft w:val="0"/>
      <w:marRight w:val="0"/>
      <w:marTop w:val="0"/>
      <w:marBottom w:val="0"/>
      <w:divBdr>
        <w:top w:val="none" w:sz="0" w:space="0" w:color="auto"/>
        <w:left w:val="none" w:sz="0" w:space="0" w:color="auto"/>
        <w:bottom w:val="none" w:sz="0" w:space="0" w:color="auto"/>
        <w:right w:val="none" w:sz="0" w:space="0" w:color="auto"/>
      </w:divBdr>
    </w:div>
    <w:div w:id="2064056425">
      <w:bodyDiv w:val="1"/>
      <w:marLeft w:val="0"/>
      <w:marRight w:val="0"/>
      <w:marTop w:val="0"/>
      <w:marBottom w:val="0"/>
      <w:divBdr>
        <w:top w:val="none" w:sz="0" w:space="0" w:color="auto"/>
        <w:left w:val="none" w:sz="0" w:space="0" w:color="auto"/>
        <w:bottom w:val="none" w:sz="0" w:space="0" w:color="auto"/>
        <w:right w:val="none" w:sz="0" w:space="0" w:color="auto"/>
      </w:divBdr>
    </w:div>
    <w:div w:id="2070763776">
      <w:bodyDiv w:val="1"/>
      <w:marLeft w:val="0"/>
      <w:marRight w:val="0"/>
      <w:marTop w:val="0"/>
      <w:marBottom w:val="0"/>
      <w:divBdr>
        <w:top w:val="none" w:sz="0" w:space="0" w:color="auto"/>
        <w:left w:val="none" w:sz="0" w:space="0" w:color="auto"/>
        <w:bottom w:val="none" w:sz="0" w:space="0" w:color="auto"/>
        <w:right w:val="none" w:sz="0" w:space="0" w:color="auto"/>
      </w:divBdr>
    </w:div>
    <w:div w:id="2077849657">
      <w:bodyDiv w:val="1"/>
      <w:marLeft w:val="0"/>
      <w:marRight w:val="0"/>
      <w:marTop w:val="0"/>
      <w:marBottom w:val="0"/>
      <w:divBdr>
        <w:top w:val="none" w:sz="0" w:space="0" w:color="auto"/>
        <w:left w:val="none" w:sz="0" w:space="0" w:color="auto"/>
        <w:bottom w:val="none" w:sz="0" w:space="0" w:color="auto"/>
        <w:right w:val="none" w:sz="0" w:space="0" w:color="auto"/>
      </w:divBdr>
    </w:div>
    <w:div w:id="2091581839">
      <w:bodyDiv w:val="1"/>
      <w:marLeft w:val="0"/>
      <w:marRight w:val="0"/>
      <w:marTop w:val="0"/>
      <w:marBottom w:val="0"/>
      <w:divBdr>
        <w:top w:val="none" w:sz="0" w:space="0" w:color="auto"/>
        <w:left w:val="none" w:sz="0" w:space="0" w:color="auto"/>
        <w:bottom w:val="none" w:sz="0" w:space="0" w:color="auto"/>
        <w:right w:val="none" w:sz="0" w:space="0" w:color="auto"/>
      </w:divBdr>
    </w:div>
    <w:div w:id="2095202257">
      <w:bodyDiv w:val="1"/>
      <w:marLeft w:val="0"/>
      <w:marRight w:val="0"/>
      <w:marTop w:val="0"/>
      <w:marBottom w:val="0"/>
      <w:divBdr>
        <w:top w:val="none" w:sz="0" w:space="0" w:color="auto"/>
        <w:left w:val="none" w:sz="0" w:space="0" w:color="auto"/>
        <w:bottom w:val="none" w:sz="0" w:space="0" w:color="auto"/>
        <w:right w:val="none" w:sz="0" w:space="0" w:color="auto"/>
      </w:divBdr>
    </w:div>
    <w:div w:id="2095280424">
      <w:bodyDiv w:val="1"/>
      <w:marLeft w:val="0"/>
      <w:marRight w:val="0"/>
      <w:marTop w:val="0"/>
      <w:marBottom w:val="0"/>
      <w:divBdr>
        <w:top w:val="none" w:sz="0" w:space="0" w:color="auto"/>
        <w:left w:val="none" w:sz="0" w:space="0" w:color="auto"/>
        <w:bottom w:val="none" w:sz="0" w:space="0" w:color="auto"/>
        <w:right w:val="none" w:sz="0" w:space="0" w:color="auto"/>
      </w:divBdr>
    </w:div>
    <w:div w:id="2101560038">
      <w:bodyDiv w:val="1"/>
      <w:marLeft w:val="0"/>
      <w:marRight w:val="0"/>
      <w:marTop w:val="0"/>
      <w:marBottom w:val="0"/>
      <w:divBdr>
        <w:top w:val="none" w:sz="0" w:space="0" w:color="auto"/>
        <w:left w:val="none" w:sz="0" w:space="0" w:color="auto"/>
        <w:bottom w:val="none" w:sz="0" w:space="0" w:color="auto"/>
        <w:right w:val="none" w:sz="0" w:space="0" w:color="auto"/>
      </w:divBdr>
    </w:div>
    <w:div w:id="2122411888">
      <w:bodyDiv w:val="1"/>
      <w:marLeft w:val="0"/>
      <w:marRight w:val="0"/>
      <w:marTop w:val="0"/>
      <w:marBottom w:val="0"/>
      <w:divBdr>
        <w:top w:val="none" w:sz="0" w:space="0" w:color="auto"/>
        <w:left w:val="none" w:sz="0" w:space="0" w:color="auto"/>
        <w:bottom w:val="none" w:sz="0" w:space="0" w:color="auto"/>
        <w:right w:val="none" w:sz="0" w:space="0" w:color="auto"/>
      </w:divBdr>
    </w:div>
    <w:div w:id="2126149954">
      <w:bodyDiv w:val="1"/>
      <w:marLeft w:val="0"/>
      <w:marRight w:val="0"/>
      <w:marTop w:val="0"/>
      <w:marBottom w:val="0"/>
      <w:divBdr>
        <w:top w:val="none" w:sz="0" w:space="0" w:color="auto"/>
        <w:left w:val="none" w:sz="0" w:space="0" w:color="auto"/>
        <w:bottom w:val="none" w:sz="0" w:space="0" w:color="auto"/>
        <w:right w:val="none" w:sz="0" w:space="0" w:color="auto"/>
      </w:divBdr>
    </w:div>
    <w:div w:id="2138137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3.xml"/><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footer" Target="footer5.xml"/><Relationship Id="rId34" Type="http://schemas.openxmlformats.org/officeDocument/2006/relationships/image" Target="media/image15.emf"/><Relationship Id="rId42" Type="http://schemas.openxmlformats.org/officeDocument/2006/relationships/image" Target="media/image20.emf"/><Relationship Id="rId47" Type="http://schemas.openxmlformats.org/officeDocument/2006/relationships/image" Target="media/image23.emf"/><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header" Target="header7.xml"/><Relationship Id="rId11" Type="http://schemas.openxmlformats.org/officeDocument/2006/relationships/image" Target="media/image3.png"/><Relationship Id="rId24" Type="http://schemas.openxmlformats.org/officeDocument/2006/relationships/image" Target="media/image8.emf"/><Relationship Id="rId32" Type="http://schemas.openxmlformats.org/officeDocument/2006/relationships/image" Target="media/image14.gif"/><Relationship Id="rId37" Type="http://schemas.openxmlformats.org/officeDocument/2006/relationships/header" Target="header9.xml"/><Relationship Id="rId40" Type="http://schemas.openxmlformats.org/officeDocument/2006/relationships/image" Target="media/image19.gif"/><Relationship Id="rId45" Type="http://schemas.openxmlformats.org/officeDocument/2006/relationships/image" Target="media/image22.emf"/><Relationship Id="rId53" Type="http://schemas.openxmlformats.org/officeDocument/2006/relationships/header" Target="header12.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image" Target="media/image13.emf"/><Relationship Id="rId44" Type="http://schemas.openxmlformats.org/officeDocument/2006/relationships/image" Target="media/image21.emf"/><Relationship Id="rId52" Type="http://schemas.openxmlformats.org/officeDocument/2006/relationships/image" Target="media/image28.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2.xml"/><Relationship Id="rId22" Type="http://schemas.openxmlformats.org/officeDocument/2006/relationships/header" Target="header5.xml"/><Relationship Id="rId27" Type="http://schemas.openxmlformats.org/officeDocument/2006/relationships/image" Target="media/image11.emf"/><Relationship Id="rId30" Type="http://schemas.openxmlformats.org/officeDocument/2006/relationships/image" Target="media/image12.png"/><Relationship Id="rId35" Type="http://schemas.openxmlformats.org/officeDocument/2006/relationships/header" Target="header8.xml"/><Relationship Id="rId43" Type="http://schemas.openxmlformats.org/officeDocument/2006/relationships/header" Target="header10.xml"/><Relationship Id="rId48" Type="http://schemas.openxmlformats.org/officeDocument/2006/relationships/image" Target="media/image24.emf"/><Relationship Id="rId8" Type="http://schemas.openxmlformats.org/officeDocument/2006/relationships/endnotes" Target="endnotes.xml"/><Relationship Id="rId51" Type="http://schemas.openxmlformats.org/officeDocument/2006/relationships/image" Target="media/image27.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3.xml"/><Relationship Id="rId25" Type="http://schemas.openxmlformats.org/officeDocument/2006/relationships/image" Target="media/image9.emf"/><Relationship Id="rId33" Type="http://schemas.openxmlformats.org/officeDocument/2006/relationships/image" Target="cid:image006.png@01CE1693.E4875100" TargetMode="External"/><Relationship Id="rId38" Type="http://schemas.openxmlformats.org/officeDocument/2006/relationships/image" Target="media/image17.emf"/><Relationship Id="rId46" Type="http://schemas.openxmlformats.org/officeDocument/2006/relationships/header" Target="header11.xml"/><Relationship Id="rId20" Type="http://schemas.openxmlformats.org/officeDocument/2006/relationships/header" Target="header4.xml"/><Relationship Id="rId41" Type="http://schemas.openxmlformats.org/officeDocument/2006/relationships/image" Target="cid:image001.png@01CE1694.A02010F0"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header" Target="header6.xml"/><Relationship Id="rId36" Type="http://schemas.openxmlformats.org/officeDocument/2006/relationships/image" Target="media/image16.png"/><Relationship Id="rId49" Type="http://schemas.openxmlformats.org/officeDocument/2006/relationships/image" Target="media/image25.emf"/></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4.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44841B-0BD0-4C06-B2B0-A633127195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99</Pages>
  <Words>30629</Words>
  <Characters>174587</Characters>
  <Application>Microsoft Office Word</Application>
  <DocSecurity>0</DocSecurity>
  <Lines>1454</Lines>
  <Paragraphs>409</Paragraphs>
  <ScaleCrop>false</ScaleCrop>
  <HeadingPairs>
    <vt:vector size="2" baseType="variant">
      <vt:variant>
        <vt:lpstr>Title</vt:lpstr>
      </vt:variant>
      <vt:variant>
        <vt:i4>1</vt:i4>
      </vt:variant>
    </vt:vector>
  </HeadingPairs>
  <TitlesOfParts>
    <vt:vector size="1" baseType="lpstr">
      <vt:lpstr/>
    </vt:vector>
  </TitlesOfParts>
  <Company>FSC Group</Company>
  <LinksUpToDate>false</LinksUpToDate>
  <CharactersWithSpaces>204807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Rohde</dc:creator>
  <cp:lastModifiedBy>Josh Bode2</cp:lastModifiedBy>
  <cp:revision>8</cp:revision>
  <cp:lastPrinted>2013-03-29T19:18:00Z</cp:lastPrinted>
  <dcterms:created xsi:type="dcterms:W3CDTF">2013-03-28T22:08:00Z</dcterms:created>
  <dcterms:modified xsi:type="dcterms:W3CDTF">2013-03-29T19:33:00Z</dcterms:modified>
</cp:coreProperties>
</file>